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0632" w14:textId="77777777" w:rsidR="00E257D7" w:rsidRPr="00802649" w:rsidRDefault="00E257D7" w:rsidP="00404060">
      <w:pPr>
        <w:spacing w:after="0"/>
        <w:rPr>
          <w:rFonts w:asciiTheme="majorHAnsi" w:hAnsiTheme="majorHAnsi" w:cstheme="majorHAnsi"/>
          <w:b/>
          <w:bCs/>
          <w:color w:val="808080"/>
          <w:sz w:val="32"/>
          <w:szCs w:val="32"/>
        </w:rPr>
      </w:pPr>
    </w:p>
    <w:p w14:paraId="2096766C" w14:textId="77777777" w:rsidR="00E257D7" w:rsidRPr="00802649" w:rsidRDefault="00E257D7" w:rsidP="00D1444F">
      <w:pPr>
        <w:spacing w:after="0"/>
        <w:rPr>
          <w:rFonts w:asciiTheme="majorHAnsi" w:hAnsiTheme="majorHAnsi" w:cstheme="majorHAnsi"/>
          <w:b/>
          <w:bCs/>
          <w:color w:val="808080"/>
          <w:sz w:val="32"/>
          <w:szCs w:val="32"/>
        </w:rPr>
      </w:pPr>
      <w:r w:rsidRPr="00802649">
        <w:rPr>
          <w:rFonts w:asciiTheme="majorHAnsi" w:hAnsiTheme="majorHAnsi" w:cstheme="majorHAnsi"/>
          <w:b/>
          <w:bCs/>
          <w:color w:val="808080"/>
          <w:sz w:val="32"/>
          <w:szCs w:val="32"/>
        </w:rPr>
        <w:t>Arizona Association of REALTORS</w:t>
      </w:r>
      <w:r w:rsidRPr="00802649">
        <w:rPr>
          <w:rFonts w:asciiTheme="majorHAnsi" w:hAnsiTheme="majorHAnsi" w:cstheme="majorHAnsi"/>
          <w:b/>
          <w:bCs/>
          <w:color w:val="808080"/>
          <w:sz w:val="32"/>
          <w:szCs w:val="32"/>
          <w:vertAlign w:val="superscript"/>
        </w:rPr>
        <w:t>®</w:t>
      </w:r>
    </w:p>
    <w:p w14:paraId="4749C0EF" w14:textId="77777777" w:rsidR="00E257D7" w:rsidRPr="00802649" w:rsidRDefault="00E257D7" w:rsidP="00D1444F">
      <w:pPr>
        <w:spacing w:after="0"/>
        <w:rPr>
          <w:rFonts w:asciiTheme="majorHAnsi" w:hAnsiTheme="majorHAnsi" w:cstheme="majorHAnsi"/>
          <w:b/>
          <w:bCs/>
          <w:sz w:val="68"/>
          <w:szCs w:val="68"/>
        </w:rPr>
      </w:pPr>
    </w:p>
    <w:p w14:paraId="737B7766" w14:textId="77777777" w:rsidR="00590556" w:rsidRPr="00802649" w:rsidRDefault="00277FEA" w:rsidP="00D1444F">
      <w:pPr>
        <w:spacing w:after="0"/>
        <w:rPr>
          <w:rFonts w:asciiTheme="majorHAnsi" w:hAnsiTheme="majorHAnsi" w:cstheme="majorHAnsi"/>
          <w:b/>
          <w:bCs/>
          <w:sz w:val="68"/>
          <w:szCs w:val="68"/>
        </w:rPr>
      </w:pPr>
      <w:r w:rsidRPr="00802649">
        <w:rPr>
          <w:rFonts w:asciiTheme="majorHAnsi" w:hAnsiTheme="majorHAnsi" w:cstheme="majorHAnsi"/>
          <w:b/>
          <w:bCs/>
          <w:noProof/>
          <w:sz w:val="68"/>
          <w:szCs w:val="68"/>
        </w:rPr>
        <w:drawing>
          <wp:inline distT="0" distB="0" distL="0" distR="0" wp14:anchorId="3B0D9A5D" wp14:editId="13E7C5F8">
            <wp:extent cx="4311015" cy="2849880"/>
            <wp:effectExtent l="19050" t="0" r="0" b="7620"/>
            <wp:docPr id="5" name="Picture 5" descr="rCRM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RMS_logo"/>
                    <pic:cNvPicPr>
                      <a:picLocks noChangeAspect="1" noChangeArrowheads="1"/>
                    </pic:cNvPicPr>
                  </pic:nvPicPr>
                  <pic:blipFill>
                    <a:blip r:embed="rId8"/>
                    <a:srcRect/>
                    <a:stretch>
                      <a:fillRect/>
                    </a:stretch>
                  </pic:blipFill>
                  <pic:spPr bwMode="auto">
                    <a:xfrm>
                      <a:off x="0" y="0"/>
                      <a:ext cx="4311015" cy="2849880"/>
                    </a:xfrm>
                    <a:prstGeom prst="rect">
                      <a:avLst/>
                    </a:prstGeom>
                    <a:noFill/>
                    <a:ln w="9525">
                      <a:noFill/>
                      <a:miter lim="800000"/>
                      <a:headEnd/>
                      <a:tailEnd/>
                    </a:ln>
                  </pic:spPr>
                </pic:pic>
              </a:graphicData>
            </a:graphic>
          </wp:inline>
        </w:drawing>
      </w:r>
    </w:p>
    <w:p w14:paraId="62A07771" w14:textId="77777777" w:rsidR="00E257D7" w:rsidRPr="00802649" w:rsidRDefault="00E257D7" w:rsidP="00D1444F">
      <w:pPr>
        <w:spacing w:after="0"/>
        <w:rPr>
          <w:rFonts w:asciiTheme="majorHAnsi" w:hAnsiTheme="majorHAnsi" w:cstheme="majorHAnsi"/>
          <w:b/>
          <w:bCs/>
          <w:sz w:val="68"/>
          <w:szCs w:val="68"/>
        </w:rPr>
      </w:pPr>
      <w:r w:rsidRPr="00802649">
        <w:rPr>
          <w:rFonts w:asciiTheme="majorHAnsi" w:hAnsiTheme="majorHAnsi" w:cstheme="majorHAnsi"/>
          <w:b/>
          <w:bCs/>
          <w:sz w:val="68"/>
          <w:szCs w:val="68"/>
        </w:rPr>
        <w:t>Disclosure &amp; Due Diligence</w:t>
      </w:r>
    </w:p>
    <w:p w14:paraId="41131FC3" w14:textId="77777777" w:rsidR="00E257D7" w:rsidRPr="00802649" w:rsidRDefault="00E257D7" w:rsidP="00D1444F">
      <w:pPr>
        <w:rPr>
          <w:rFonts w:asciiTheme="majorHAnsi" w:hAnsiTheme="majorHAnsi" w:cstheme="majorHAnsi"/>
          <w:b/>
          <w:bCs/>
          <w:sz w:val="40"/>
          <w:szCs w:val="40"/>
        </w:rPr>
      </w:pPr>
      <w:r w:rsidRPr="00802649">
        <w:rPr>
          <w:rFonts w:asciiTheme="majorHAnsi" w:hAnsiTheme="majorHAnsi" w:cstheme="majorHAnsi"/>
          <w:b/>
          <w:bCs/>
          <w:sz w:val="40"/>
          <w:szCs w:val="40"/>
        </w:rPr>
        <w:t>Risk Management Certification Core Course</w:t>
      </w:r>
    </w:p>
    <w:p w14:paraId="15B66365" w14:textId="77777777" w:rsidR="00E257D7" w:rsidRPr="0016453F" w:rsidRDefault="00E257D7" w:rsidP="00D1444F">
      <w:pPr>
        <w:rPr>
          <w:rFonts w:asciiTheme="majorHAnsi" w:hAnsiTheme="majorHAnsi" w:cstheme="majorHAnsi"/>
          <w:b/>
          <w:bCs/>
          <w:vanish/>
          <w:color w:val="808080"/>
          <w:sz w:val="32"/>
          <w:szCs w:val="32"/>
        </w:rPr>
      </w:pPr>
      <w:r w:rsidRPr="0016453F">
        <w:rPr>
          <w:rFonts w:asciiTheme="majorHAnsi" w:hAnsiTheme="majorHAnsi" w:cstheme="majorHAnsi"/>
          <w:b/>
          <w:bCs/>
          <w:vanish/>
          <w:color w:val="808080"/>
          <w:sz w:val="32"/>
          <w:szCs w:val="32"/>
        </w:rPr>
        <w:t>Instructor Manual</w:t>
      </w:r>
    </w:p>
    <w:p w14:paraId="110FCE38" w14:textId="77777777" w:rsidR="00E257D7" w:rsidRPr="00802649" w:rsidRDefault="00E257D7" w:rsidP="00404060">
      <w:pPr>
        <w:spacing w:after="0"/>
        <w:rPr>
          <w:rFonts w:asciiTheme="majorHAnsi" w:hAnsiTheme="majorHAnsi" w:cstheme="majorHAnsi"/>
          <w:b/>
          <w:bCs/>
          <w:color w:val="808080"/>
          <w:sz w:val="32"/>
          <w:szCs w:val="32"/>
        </w:rPr>
      </w:pPr>
    </w:p>
    <w:p w14:paraId="006E9E52" w14:textId="77777777" w:rsidR="00272E11" w:rsidRPr="00B36E6F" w:rsidRDefault="00272E11" w:rsidP="00272E11">
      <w:pPr>
        <w:jc w:val="center"/>
        <w:rPr>
          <w:rFonts w:ascii="Arial Bold" w:hAnsi="Arial Bold" w:cs="Arial"/>
          <w:b/>
          <w:bCs/>
          <w:vanish/>
          <w:color w:val="FF0000"/>
          <w:sz w:val="32"/>
          <w:szCs w:val="32"/>
        </w:rPr>
      </w:pPr>
      <w:r w:rsidRPr="00B36E6F">
        <w:rPr>
          <w:rFonts w:ascii="Arial Bold" w:hAnsi="Arial Bold" w:cs="Arial"/>
          <w:b/>
          <w:bCs/>
          <w:vanish/>
          <w:color w:val="FF0000"/>
          <w:sz w:val="32"/>
          <w:szCs w:val="32"/>
        </w:rPr>
        <w:t>Instructor Manual</w:t>
      </w:r>
    </w:p>
    <w:p w14:paraId="2EBC5135" w14:textId="77777777" w:rsidR="00272E11" w:rsidRPr="0028491D" w:rsidRDefault="00272E11" w:rsidP="00272E11">
      <w:pPr>
        <w:jc w:val="center"/>
        <w:rPr>
          <w:rFonts w:ascii="Arial" w:hAnsi="Arial" w:cs="Arial"/>
          <w:b/>
          <w:bCs/>
          <w:color w:val="4F81BD" w:themeColor="accent1"/>
          <w:sz w:val="32"/>
          <w:szCs w:val="32"/>
        </w:rPr>
      </w:pPr>
      <w:r w:rsidRPr="0028491D">
        <w:rPr>
          <w:rFonts w:ascii="Arial" w:hAnsi="Arial" w:cs="Arial"/>
          <w:b/>
          <w:bCs/>
          <w:vanish/>
          <w:color w:val="4F81BD" w:themeColor="accent1"/>
          <w:sz w:val="32"/>
          <w:szCs w:val="32"/>
        </w:rPr>
        <w:t>Zoom activities in blue</w:t>
      </w:r>
    </w:p>
    <w:p w14:paraId="2666FA7C" w14:textId="77777777" w:rsidR="00E257D7" w:rsidRPr="00802649" w:rsidRDefault="00E257D7" w:rsidP="00404060">
      <w:pPr>
        <w:spacing w:after="0"/>
        <w:rPr>
          <w:rFonts w:asciiTheme="majorHAnsi" w:hAnsiTheme="majorHAnsi" w:cstheme="majorHAnsi"/>
          <w:b/>
          <w:bCs/>
          <w:color w:val="808080"/>
          <w:sz w:val="32"/>
          <w:szCs w:val="32"/>
        </w:rPr>
      </w:pPr>
    </w:p>
    <w:p w14:paraId="31BC8003" w14:textId="77777777" w:rsidR="001D1AF5" w:rsidRPr="00F83553" w:rsidRDefault="001D1AF5" w:rsidP="001D1AF5">
      <w:pPr>
        <w:spacing w:after="0" w:line="240" w:lineRule="auto"/>
        <w:rPr>
          <w:rFonts w:cstheme="majorHAnsi"/>
          <w:vanish/>
          <w:color w:val="FF0000"/>
          <w:sz w:val="32"/>
          <w:szCs w:val="32"/>
        </w:rPr>
      </w:pPr>
      <w:r w:rsidRPr="00F83553">
        <w:rPr>
          <w:rFonts w:cstheme="majorHAnsi"/>
          <w:vanish/>
          <w:color w:val="FF0000"/>
          <w:sz w:val="32"/>
          <w:szCs w:val="32"/>
        </w:rPr>
        <w:t>For the Instructor: Course Layout</w:t>
      </w:r>
    </w:p>
    <w:p w14:paraId="204C1272" w14:textId="77777777" w:rsidR="001D1AF5" w:rsidRPr="00F83553" w:rsidRDefault="001D1AF5" w:rsidP="001D1AF5">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Format</w:t>
      </w:r>
    </w:p>
    <w:p w14:paraId="216C5CEF"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 xml:space="preserve">The black text appears in both manuals, while red text denotes answers to questions or other information contained only in the instructor version.    </w:t>
      </w:r>
    </w:p>
    <w:p w14:paraId="5535F52B" w14:textId="77777777" w:rsidR="001D1AF5" w:rsidRPr="00F83553" w:rsidRDefault="001D1AF5" w:rsidP="001D1AF5">
      <w:pPr>
        <w:rPr>
          <w:rFonts w:asciiTheme="majorHAnsi" w:hAnsiTheme="majorHAnsi" w:cstheme="majorHAnsi"/>
          <w:b/>
          <w:vanish/>
          <w:color w:val="FF0000"/>
          <w:sz w:val="24"/>
          <w:szCs w:val="24"/>
        </w:rPr>
      </w:pPr>
      <w:r w:rsidRPr="00F83553">
        <w:rPr>
          <w:rFonts w:asciiTheme="majorHAnsi" w:hAnsiTheme="majorHAnsi" w:cstheme="majorHAnsi"/>
          <w:b/>
          <w:vanish/>
          <w:color w:val="FF0000"/>
          <w:sz w:val="24"/>
          <w:szCs w:val="24"/>
        </w:rPr>
        <w:t>Timing</w:t>
      </w:r>
    </w:p>
    <w:p w14:paraId="120B633E"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lastRenderedPageBreak/>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14:paraId="59EAF539" w14:textId="77777777" w:rsidR="001D1AF5" w:rsidRPr="00A65C0B" w:rsidRDefault="001D1AF5" w:rsidP="001D1AF5">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Start with </w:t>
      </w:r>
      <w:r>
        <w:rPr>
          <w:rFonts w:asciiTheme="majorHAnsi" w:hAnsiTheme="majorHAnsi" w:cstheme="majorHAnsi"/>
          <w:vanish/>
          <w:color w:val="FF0000"/>
          <w:sz w:val="24"/>
          <w:szCs w:val="24"/>
        </w:rPr>
        <w:t>asking</w:t>
      </w:r>
      <w:r w:rsidRPr="00F83553">
        <w:rPr>
          <w:rFonts w:asciiTheme="majorHAnsi" w:hAnsiTheme="majorHAnsi" w:cstheme="majorHAnsi"/>
          <w:vanish/>
          <w:color w:val="FF0000"/>
          <w:sz w:val="24"/>
          <w:szCs w:val="24"/>
        </w:rPr>
        <w:t xml:space="preserve"> the students to take a moment at the beginning of the course to briefly answer the following questions:</w:t>
      </w:r>
    </w:p>
    <w:p w14:paraId="25CE7249" w14:textId="77777777" w:rsidR="001D1AF5" w:rsidRPr="00F83553" w:rsidRDefault="001D1AF5" w:rsidP="001D1AF5">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is the most important thing you hope to learn in this course?</w:t>
      </w:r>
    </w:p>
    <w:p w14:paraId="7C03278B" w14:textId="77777777" w:rsidR="001D1AF5" w:rsidRPr="00F83553" w:rsidRDefault="001D1AF5" w:rsidP="001D1AF5">
      <w:pPr>
        <w:pStyle w:val="ListParagraph"/>
        <w:rPr>
          <w:rFonts w:asciiTheme="majorHAnsi" w:hAnsiTheme="majorHAnsi" w:cstheme="majorHAnsi"/>
          <w:vanish/>
          <w:color w:val="FF0000"/>
          <w:sz w:val="24"/>
          <w:szCs w:val="24"/>
        </w:rPr>
      </w:pPr>
    </w:p>
    <w:p w14:paraId="2010F536" w14:textId="77777777" w:rsidR="001D1AF5" w:rsidRPr="00F83553" w:rsidRDefault="001D1AF5" w:rsidP="001D1AF5">
      <w:pPr>
        <w:pStyle w:val="ListParagraph"/>
        <w:numPr>
          <w:ilvl w:val="0"/>
          <w:numId w:val="2"/>
        </w:num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What risk-related areas or topics most concern you?</w:t>
      </w:r>
    </w:p>
    <w:p w14:paraId="03599F9B" w14:textId="77777777" w:rsidR="001D1AF5" w:rsidRPr="00F83553" w:rsidRDefault="001D1AF5" w:rsidP="001D1AF5">
      <w:pPr>
        <w:pStyle w:val="ListParagraph"/>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14:paraId="204C9D61" w14:textId="77777777" w:rsidR="001D1AF5" w:rsidRPr="00F83553" w:rsidRDefault="001D1AF5" w:rsidP="001D1AF5">
      <w:pPr>
        <w:pStyle w:val="ListParagraph"/>
        <w:rPr>
          <w:rFonts w:asciiTheme="majorHAnsi" w:hAnsiTheme="majorHAnsi" w:cstheme="majorHAnsi"/>
          <w:vanish/>
          <w:color w:val="FF0000"/>
          <w:sz w:val="24"/>
          <w:szCs w:val="24"/>
        </w:rPr>
      </w:pPr>
    </w:p>
    <w:p w14:paraId="363E6230" w14:textId="77777777" w:rsidR="001D1AF5" w:rsidRPr="00F83553" w:rsidRDefault="001D1AF5" w:rsidP="001D1AF5">
      <w:pPr>
        <w:rPr>
          <w:rFonts w:asciiTheme="majorHAnsi" w:hAnsiTheme="majorHAnsi" w:cstheme="majorHAnsi"/>
          <w:vanish/>
          <w:color w:val="FF0000"/>
          <w:sz w:val="24"/>
          <w:szCs w:val="24"/>
        </w:rPr>
      </w:pPr>
      <w:r w:rsidRPr="00F83553">
        <w:rPr>
          <w:rFonts w:asciiTheme="majorHAnsi" w:hAnsiTheme="majorHAnsi" w:cstheme="majorHAnsi"/>
          <w:vanish/>
          <w:color w:val="FF0000"/>
          <w:sz w:val="24"/>
          <w:szCs w:val="24"/>
        </w:rPr>
        <w:t>If you have time at the end of the course, allow the students to refer back to their answers to the above questions and verify that their concerns were addressed in the course material.</w:t>
      </w:r>
    </w:p>
    <w:p w14:paraId="2D3F9303" w14:textId="77777777" w:rsidR="001D1AF5" w:rsidRDefault="001D1AF5" w:rsidP="001D1AF5">
      <w:pPr>
        <w:spacing w:after="0" w:line="240" w:lineRule="auto"/>
        <w:jc w:val="center"/>
        <w:rPr>
          <w:rFonts w:asciiTheme="majorHAnsi" w:hAnsiTheme="majorHAnsi" w:cstheme="majorHAnsi"/>
          <w:b/>
          <w:bCs/>
          <w:sz w:val="20"/>
          <w:szCs w:val="20"/>
        </w:rPr>
      </w:pPr>
    </w:p>
    <w:p w14:paraId="7AF79D39"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The following key factors should be a part of your delivery: </w:t>
      </w:r>
    </w:p>
    <w:p w14:paraId="08578A52"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1. The material presented should have immediate usefulness to the learners. </w:t>
      </w:r>
    </w:p>
    <w:p w14:paraId="216233F2"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2. The material presented should be relevant to the learners’ practice.  Adult learners need to be able to see the relevancy of what they are learning </w:t>
      </w:r>
    </w:p>
    <w:p w14:paraId="4F6FA1AE"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14:paraId="089A7717" w14:textId="77777777" w:rsidR="001D1AF5" w:rsidRDefault="001D1AF5" w:rsidP="001D1AF5">
      <w:pPr>
        <w:rPr>
          <w:rFonts w:ascii="Arial" w:hAnsi="Arial" w:cs="Arial"/>
          <w:vanish/>
          <w:color w:val="76923C" w:themeColor="accent3" w:themeShade="BF"/>
          <w:sz w:val="24"/>
          <w:szCs w:val="24"/>
        </w:rPr>
      </w:pPr>
      <w:r>
        <w:rPr>
          <w:rFonts w:ascii="Arial" w:hAnsi="Arial" w:cs="Arial"/>
          <w:vanish/>
          <w:color w:val="76923C" w:themeColor="accent3" w:themeShade="BF"/>
          <w:sz w:val="24"/>
          <w:szCs w:val="24"/>
        </w:rPr>
        <w:t xml:space="preserve">4. The presentation should be engaging. </w:t>
      </w:r>
    </w:p>
    <w:p w14:paraId="28D76FE5" w14:textId="77777777" w:rsidR="001D1AF5" w:rsidRDefault="001D1AF5" w:rsidP="001D1AF5">
      <w:pPr>
        <w:spacing w:after="0" w:line="240" w:lineRule="auto"/>
        <w:rPr>
          <w:rFonts w:ascii="Arial" w:hAnsi="Arial" w:cs="Arial"/>
          <w:b/>
          <w:vanish/>
          <w:color w:val="76923C" w:themeColor="accent3" w:themeShade="BF"/>
          <w:sz w:val="24"/>
          <w:szCs w:val="24"/>
        </w:rPr>
      </w:pPr>
      <w:r>
        <w:rPr>
          <w:rFonts w:ascii="Arial" w:hAnsi="Arial" w:cs="Arial"/>
          <w:b/>
          <w:vanish/>
          <w:color w:val="76923C" w:themeColor="accent3" w:themeShade="BF"/>
          <w:sz w:val="24"/>
          <w:szCs w:val="24"/>
        </w:rPr>
        <w:t>Utilizing the learning activities allow the students to both assess their own experience and learn from the experiences of others making the learning more meaningful than when it is based simply on lecture delivery</w:t>
      </w:r>
    </w:p>
    <w:p w14:paraId="6BEC630E" w14:textId="77777777" w:rsidR="001D1AF5" w:rsidRDefault="001D1AF5" w:rsidP="001D1AF5">
      <w:pPr>
        <w:spacing w:after="0" w:line="240" w:lineRule="auto"/>
        <w:rPr>
          <w:rFonts w:ascii="Arial" w:hAnsi="Arial" w:cs="Arial"/>
          <w:b/>
          <w:vanish/>
          <w:color w:val="76923C" w:themeColor="accent3" w:themeShade="BF"/>
          <w:sz w:val="24"/>
          <w:szCs w:val="24"/>
        </w:rPr>
      </w:pPr>
    </w:p>
    <w:p w14:paraId="66A0F922" w14:textId="77777777" w:rsidR="001D1AF5" w:rsidRPr="0028491D" w:rsidRDefault="001D1AF5" w:rsidP="001D1AF5">
      <w:pPr>
        <w:rPr>
          <w:rFonts w:ascii="Arial Bold" w:hAnsi="Arial Bold" w:cs="Arial"/>
          <w:b/>
          <w:bCs/>
          <w:vanish/>
          <w:color w:val="4F81BD" w:themeColor="accent1"/>
          <w:sz w:val="24"/>
          <w:szCs w:val="24"/>
        </w:rPr>
      </w:pPr>
      <w:r w:rsidRPr="0028491D">
        <w:rPr>
          <w:rFonts w:ascii="Arial Bold" w:hAnsi="Arial Bold" w:cs="Arial"/>
          <w:b/>
          <w:bCs/>
          <w:vanish/>
          <w:color w:val="4F81BD" w:themeColor="accent1"/>
          <w:sz w:val="24"/>
          <w:szCs w:val="24"/>
        </w:rPr>
        <w:t>Live Streaming classes – ADRE requires a minimum of 5 engagement opportunities outside of town-halls</w:t>
      </w:r>
    </w:p>
    <w:p w14:paraId="7B5D353C" w14:textId="77777777" w:rsidR="00B36E6F" w:rsidRDefault="00B36E6F">
      <w:pPr>
        <w:spacing w:after="0" w:line="240" w:lineRule="auto"/>
        <w:rPr>
          <w:rFonts w:asciiTheme="majorHAnsi" w:eastAsia="Times New Roman" w:hAnsiTheme="majorHAnsi" w:cstheme="majorHAnsi"/>
          <w:b/>
          <w:bCs/>
          <w:sz w:val="28"/>
          <w:szCs w:val="28"/>
        </w:rPr>
      </w:pPr>
      <w:r>
        <w:rPr>
          <w:rFonts w:asciiTheme="majorHAnsi" w:hAnsiTheme="majorHAnsi" w:cstheme="majorHAnsi"/>
        </w:rPr>
        <w:lastRenderedPageBreak/>
        <w:br w:type="page"/>
      </w:r>
    </w:p>
    <w:p w14:paraId="0F352090" w14:textId="459EE252" w:rsidR="00E257D7" w:rsidRPr="00802649" w:rsidRDefault="00E257D7">
      <w:pPr>
        <w:pStyle w:val="TOCHeading"/>
        <w:rPr>
          <w:rFonts w:asciiTheme="majorHAnsi" w:hAnsiTheme="majorHAnsi" w:cstheme="majorHAnsi"/>
          <w:color w:val="auto"/>
        </w:rPr>
      </w:pPr>
      <w:r w:rsidRPr="00802649">
        <w:rPr>
          <w:rFonts w:asciiTheme="majorHAnsi" w:hAnsiTheme="majorHAnsi" w:cstheme="majorHAnsi"/>
          <w:color w:val="auto"/>
        </w:rPr>
        <w:lastRenderedPageBreak/>
        <w:t>Table of Contents</w:t>
      </w:r>
    </w:p>
    <w:p w14:paraId="02241C8A" w14:textId="58EADFC0" w:rsidR="00AB36E0" w:rsidRDefault="005663B4">
      <w:pPr>
        <w:pStyle w:val="TOC1"/>
        <w:tabs>
          <w:tab w:val="right" w:leader="dot" w:pos="9350"/>
        </w:tabs>
        <w:rPr>
          <w:rFonts w:asciiTheme="minorHAnsi" w:eastAsiaTheme="minorEastAsia" w:hAnsiTheme="minorHAnsi" w:cstheme="minorBidi"/>
          <w:noProof/>
        </w:rPr>
      </w:pPr>
      <w:r w:rsidRPr="00802649">
        <w:rPr>
          <w:rFonts w:asciiTheme="majorHAnsi" w:hAnsiTheme="majorHAnsi" w:cstheme="majorHAnsi"/>
        </w:rPr>
        <w:fldChar w:fldCharType="begin"/>
      </w:r>
      <w:r w:rsidR="00E257D7" w:rsidRPr="00802649">
        <w:rPr>
          <w:rFonts w:asciiTheme="majorHAnsi" w:hAnsiTheme="majorHAnsi" w:cstheme="majorHAnsi"/>
        </w:rPr>
        <w:instrText xml:space="preserve"> TOC \o "1-3" \h \z \u </w:instrText>
      </w:r>
      <w:r w:rsidRPr="00802649">
        <w:rPr>
          <w:rFonts w:asciiTheme="majorHAnsi" w:hAnsiTheme="majorHAnsi" w:cstheme="majorHAnsi"/>
        </w:rPr>
        <w:fldChar w:fldCharType="separate"/>
      </w:r>
      <w:hyperlink w:anchor="_Toc65239054" w:history="1">
        <w:r w:rsidR="00AB36E0" w:rsidRPr="007B5164">
          <w:rPr>
            <w:rStyle w:val="Hyperlink"/>
            <w:rFonts w:asciiTheme="majorHAnsi" w:hAnsiTheme="majorHAnsi" w:cstheme="majorHAnsi"/>
            <w:noProof/>
          </w:rPr>
          <w:t>Course Introduction and Learning Objectives</w:t>
        </w:r>
        <w:r w:rsidR="00AB36E0">
          <w:rPr>
            <w:noProof/>
            <w:webHidden/>
          </w:rPr>
          <w:tab/>
        </w:r>
        <w:r w:rsidR="0016453F">
          <w:rPr>
            <w:noProof/>
            <w:webHidden/>
          </w:rPr>
          <w:t>3</w:t>
        </w:r>
      </w:hyperlink>
    </w:p>
    <w:p w14:paraId="3E677BC7" w14:textId="40F374FE" w:rsidR="00AB36E0" w:rsidRDefault="004619DA">
      <w:pPr>
        <w:pStyle w:val="TOC1"/>
        <w:tabs>
          <w:tab w:val="right" w:leader="dot" w:pos="9350"/>
        </w:tabs>
        <w:rPr>
          <w:rFonts w:asciiTheme="minorHAnsi" w:eastAsiaTheme="minorEastAsia" w:hAnsiTheme="minorHAnsi" w:cstheme="minorBidi"/>
          <w:noProof/>
        </w:rPr>
      </w:pPr>
      <w:hyperlink w:anchor="_Toc65239055" w:history="1">
        <w:r w:rsidR="00AB36E0" w:rsidRPr="007B5164">
          <w:rPr>
            <w:rStyle w:val="Hyperlink"/>
            <w:rFonts w:asciiTheme="majorHAnsi" w:hAnsiTheme="majorHAnsi" w:cstheme="majorHAnsi"/>
            <w:noProof/>
          </w:rPr>
          <w:t>Unit 1, Segment 1: Broker Disclosures</w:t>
        </w:r>
        <w:r w:rsidR="00AB36E0">
          <w:rPr>
            <w:noProof/>
            <w:webHidden/>
          </w:rPr>
          <w:tab/>
        </w:r>
        <w:r w:rsidR="0016453F">
          <w:rPr>
            <w:noProof/>
            <w:webHidden/>
          </w:rPr>
          <w:t>4</w:t>
        </w:r>
      </w:hyperlink>
    </w:p>
    <w:p w14:paraId="23044A21" w14:textId="6C1280BE" w:rsidR="00AB36E0" w:rsidRDefault="004619DA">
      <w:pPr>
        <w:pStyle w:val="TOC2"/>
        <w:tabs>
          <w:tab w:val="right" w:leader="dot" w:pos="9350"/>
        </w:tabs>
        <w:rPr>
          <w:rFonts w:asciiTheme="minorHAnsi" w:eastAsiaTheme="minorEastAsia" w:hAnsiTheme="minorHAnsi" w:cstheme="minorBidi"/>
          <w:noProof/>
        </w:rPr>
      </w:pPr>
      <w:hyperlink w:anchor="_Toc65239056" w:history="1">
        <w:r w:rsidR="00AB36E0" w:rsidRPr="007B5164">
          <w:rPr>
            <w:rStyle w:val="Hyperlink"/>
            <w:rFonts w:asciiTheme="majorHAnsi" w:hAnsiTheme="majorHAnsi" w:cstheme="majorHAnsi"/>
            <w:i/>
            <w:noProof/>
            <w:lang w:val="nb-NO"/>
          </w:rPr>
          <w:t>Jennings v. Lee</w:t>
        </w:r>
        <w:r w:rsidR="00AB36E0" w:rsidRPr="007B5164">
          <w:rPr>
            <w:rStyle w:val="Hyperlink"/>
            <w:rFonts w:asciiTheme="majorHAnsi" w:hAnsiTheme="majorHAnsi" w:cstheme="majorHAnsi"/>
            <w:noProof/>
            <w:lang w:val="nb-NO"/>
          </w:rPr>
          <w:t>, 105 Ariz. 167, 461 P.2d 161 (1969)</w:t>
        </w:r>
        <w:r w:rsidR="00AB36E0">
          <w:rPr>
            <w:noProof/>
            <w:webHidden/>
          </w:rPr>
          <w:tab/>
          <w:t>5</w:t>
        </w:r>
      </w:hyperlink>
    </w:p>
    <w:p w14:paraId="769C8D61" w14:textId="4FDA6574" w:rsidR="00AB36E0" w:rsidRDefault="004619DA">
      <w:pPr>
        <w:pStyle w:val="TOC2"/>
        <w:tabs>
          <w:tab w:val="right" w:leader="dot" w:pos="9350"/>
        </w:tabs>
        <w:rPr>
          <w:rFonts w:asciiTheme="minorHAnsi" w:eastAsiaTheme="minorEastAsia" w:hAnsiTheme="minorHAnsi" w:cstheme="minorBidi"/>
          <w:noProof/>
        </w:rPr>
      </w:pPr>
      <w:hyperlink w:anchor="_Toc65239057" w:history="1">
        <w:r w:rsidR="00AB36E0" w:rsidRPr="007B5164">
          <w:rPr>
            <w:rStyle w:val="Hyperlink"/>
            <w:rFonts w:asciiTheme="majorHAnsi" w:hAnsiTheme="majorHAnsi" w:cstheme="majorHAnsi"/>
            <w:i/>
            <w:noProof/>
          </w:rPr>
          <w:t>Morley v. J. Pagel Realty &amp; Insurance</w:t>
        </w:r>
        <w:r w:rsidR="00AB36E0" w:rsidRPr="007B5164">
          <w:rPr>
            <w:rStyle w:val="Hyperlink"/>
            <w:rFonts w:asciiTheme="majorHAnsi" w:hAnsiTheme="majorHAnsi" w:cstheme="majorHAnsi"/>
            <w:noProof/>
          </w:rPr>
          <w:t>, 27 Ariz. App. 62, 550 P.2d 1104 (1976)</w:t>
        </w:r>
        <w:r w:rsidR="00AB36E0">
          <w:rPr>
            <w:noProof/>
            <w:webHidden/>
          </w:rPr>
          <w:tab/>
        </w:r>
        <w:r w:rsidR="0016453F">
          <w:rPr>
            <w:noProof/>
            <w:webHidden/>
          </w:rPr>
          <w:t>6</w:t>
        </w:r>
      </w:hyperlink>
    </w:p>
    <w:p w14:paraId="6EE8C7AF" w14:textId="3B8CEFC5" w:rsidR="00AB36E0" w:rsidRDefault="004619DA">
      <w:pPr>
        <w:pStyle w:val="TOC2"/>
        <w:tabs>
          <w:tab w:val="right" w:leader="dot" w:pos="9350"/>
        </w:tabs>
        <w:rPr>
          <w:rFonts w:asciiTheme="minorHAnsi" w:eastAsiaTheme="minorEastAsia" w:hAnsiTheme="minorHAnsi" w:cstheme="minorBidi"/>
          <w:noProof/>
        </w:rPr>
      </w:pPr>
      <w:hyperlink w:anchor="_Toc65239058" w:history="1">
        <w:r w:rsidR="00AB36E0" w:rsidRPr="007B5164">
          <w:rPr>
            <w:rStyle w:val="Hyperlink"/>
            <w:rFonts w:asciiTheme="majorHAnsi" w:hAnsiTheme="majorHAnsi" w:cstheme="majorHAnsi"/>
            <w:i/>
            <w:noProof/>
          </w:rPr>
          <w:t>Mason v. Bulleri</w:t>
        </w:r>
        <w:r w:rsidR="00AB36E0" w:rsidRPr="007B5164">
          <w:rPr>
            <w:rStyle w:val="Hyperlink"/>
            <w:rFonts w:asciiTheme="majorHAnsi" w:hAnsiTheme="majorHAnsi" w:cstheme="majorHAnsi"/>
            <w:noProof/>
          </w:rPr>
          <w:t>, 25 Ariz. App. 357, 543 P.2d 478 (1975)</w:t>
        </w:r>
        <w:r w:rsidR="00AB36E0">
          <w:rPr>
            <w:noProof/>
            <w:webHidden/>
          </w:rPr>
          <w:tab/>
        </w:r>
        <w:r w:rsidR="0016453F">
          <w:rPr>
            <w:noProof/>
            <w:webHidden/>
          </w:rPr>
          <w:t>7</w:t>
        </w:r>
      </w:hyperlink>
    </w:p>
    <w:p w14:paraId="734171BE" w14:textId="631D0CCC" w:rsidR="00AB36E0" w:rsidRDefault="004619DA">
      <w:pPr>
        <w:pStyle w:val="TOC2"/>
        <w:tabs>
          <w:tab w:val="right" w:leader="dot" w:pos="9350"/>
        </w:tabs>
        <w:rPr>
          <w:rFonts w:asciiTheme="minorHAnsi" w:eastAsiaTheme="minorEastAsia" w:hAnsiTheme="minorHAnsi" w:cstheme="minorBidi"/>
          <w:noProof/>
        </w:rPr>
      </w:pPr>
      <w:hyperlink w:anchor="_Toc65239059" w:history="1">
        <w:r w:rsidR="00AB36E0" w:rsidRPr="007B5164">
          <w:rPr>
            <w:rStyle w:val="Hyperlink"/>
            <w:rFonts w:asciiTheme="majorHAnsi" w:hAnsiTheme="majorHAnsi" w:cstheme="majorHAnsi"/>
            <w:i/>
            <w:noProof/>
          </w:rPr>
          <w:t>Kimmel v. Clark</w:t>
        </w:r>
        <w:r w:rsidR="00AB36E0" w:rsidRPr="007B5164">
          <w:rPr>
            <w:rStyle w:val="Hyperlink"/>
            <w:rFonts w:asciiTheme="majorHAnsi" w:hAnsiTheme="majorHAnsi" w:cstheme="majorHAnsi"/>
            <w:noProof/>
          </w:rPr>
          <w:t>, 21 Ariz. App. 455, 520 P.2d 851 (1974)</w:t>
        </w:r>
        <w:r w:rsidR="00AB36E0">
          <w:rPr>
            <w:noProof/>
            <w:webHidden/>
          </w:rPr>
          <w:tab/>
        </w:r>
        <w:r w:rsidR="0016453F">
          <w:rPr>
            <w:noProof/>
            <w:webHidden/>
          </w:rPr>
          <w:t>8</w:t>
        </w:r>
      </w:hyperlink>
    </w:p>
    <w:p w14:paraId="30B578E4" w14:textId="2435BEEF" w:rsidR="00AB36E0" w:rsidRDefault="004619DA">
      <w:pPr>
        <w:pStyle w:val="TOC2"/>
        <w:tabs>
          <w:tab w:val="right" w:leader="dot" w:pos="9350"/>
        </w:tabs>
        <w:rPr>
          <w:rFonts w:asciiTheme="minorHAnsi" w:eastAsiaTheme="minorEastAsia" w:hAnsiTheme="minorHAnsi" w:cstheme="minorBidi"/>
          <w:noProof/>
        </w:rPr>
      </w:pPr>
      <w:hyperlink w:anchor="_Toc65239060" w:history="1">
        <w:r w:rsidR="00AB36E0" w:rsidRPr="007B5164">
          <w:rPr>
            <w:rStyle w:val="Hyperlink"/>
            <w:rFonts w:asciiTheme="majorHAnsi" w:hAnsiTheme="majorHAnsi" w:cstheme="majorHAnsi"/>
            <w:i/>
            <w:noProof/>
            <w:lang w:val="it-IT"/>
          </w:rPr>
          <w:t>Lombardo v. Albu</w:t>
        </w:r>
        <w:r w:rsidR="00AB36E0" w:rsidRPr="007B5164">
          <w:rPr>
            <w:rStyle w:val="Hyperlink"/>
            <w:rFonts w:asciiTheme="majorHAnsi" w:hAnsiTheme="majorHAnsi" w:cstheme="majorHAnsi"/>
            <w:noProof/>
            <w:lang w:val="it-IT"/>
          </w:rPr>
          <w:t>, 199 Ariz. 97, 14 P.3d 288 (2000)</w:t>
        </w:r>
        <w:r w:rsidR="00AB36E0">
          <w:rPr>
            <w:noProof/>
            <w:webHidden/>
          </w:rPr>
          <w:tab/>
        </w:r>
        <w:r w:rsidR="0016453F">
          <w:rPr>
            <w:noProof/>
            <w:webHidden/>
          </w:rPr>
          <w:t>8</w:t>
        </w:r>
      </w:hyperlink>
    </w:p>
    <w:p w14:paraId="3CEB87D6" w14:textId="0EAB67EC" w:rsidR="00AB36E0" w:rsidRDefault="004619DA">
      <w:pPr>
        <w:pStyle w:val="TOC2"/>
        <w:tabs>
          <w:tab w:val="right" w:leader="dot" w:pos="9350"/>
        </w:tabs>
        <w:rPr>
          <w:rFonts w:asciiTheme="minorHAnsi" w:eastAsiaTheme="minorEastAsia" w:hAnsiTheme="minorHAnsi" w:cstheme="minorBidi"/>
          <w:noProof/>
        </w:rPr>
      </w:pPr>
      <w:hyperlink w:anchor="_Toc65239061" w:history="1">
        <w:r w:rsidR="00AB36E0" w:rsidRPr="007B5164">
          <w:rPr>
            <w:rStyle w:val="Hyperlink"/>
            <w:rFonts w:asciiTheme="majorHAnsi" w:hAnsiTheme="majorHAnsi" w:cstheme="majorHAnsi"/>
            <w:i/>
            <w:noProof/>
          </w:rPr>
          <w:t>Aranki v. RKP Investments, Inc.</w:t>
        </w:r>
        <w:r w:rsidR="00AB36E0" w:rsidRPr="007B5164">
          <w:rPr>
            <w:rStyle w:val="Hyperlink"/>
            <w:rFonts w:asciiTheme="majorHAnsi" w:hAnsiTheme="majorHAnsi" w:cstheme="majorHAnsi"/>
            <w:noProof/>
          </w:rPr>
          <w:t>, 194 Ariz. 206, 979 P.2d 534 (App. 1999)</w:t>
        </w:r>
        <w:r w:rsidR="00AB36E0">
          <w:rPr>
            <w:noProof/>
            <w:webHidden/>
          </w:rPr>
          <w:tab/>
        </w:r>
        <w:r w:rsidR="0016453F">
          <w:rPr>
            <w:noProof/>
            <w:webHidden/>
          </w:rPr>
          <w:t>9</w:t>
        </w:r>
      </w:hyperlink>
    </w:p>
    <w:p w14:paraId="32C701BF" w14:textId="0F2818D3" w:rsidR="00AB36E0" w:rsidRDefault="004619DA">
      <w:pPr>
        <w:pStyle w:val="TOC2"/>
        <w:tabs>
          <w:tab w:val="right" w:leader="dot" w:pos="9350"/>
        </w:tabs>
        <w:rPr>
          <w:rFonts w:asciiTheme="minorHAnsi" w:eastAsiaTheme="minorEastAsia" w:hAnsiTheme="minorHAnsi" w:cstheme="minorBidi"/>
          <w:noProof/>
        </w:rPr>
      </w:pPr>
      <w:hyperlink w:anchor="_Toc65239062" w:history="1">
        <w:r w:rsidR="00AB36E0" w:rsidRPr="007B5164">
          <w:rPr>
            <w:rStyle w:val="Hyperlink"/>
            <w:rFonts w:asciiTheme="majorHAnsi" w:hAnsiTheme="majorHAnsi" w:cstheme="majorHAnsi"/>
            <w:noProof/>
          </w:rPr>
          <w:t>Segment Conclusion</w:t>
        </w:r>
        <w:r w:rsidR="00AB36E0">
          <w:rPr>
            <w:noProof/>
            <w:webHidden/>
          </w:rPr>
          <w:tab/>
        </w:r>
        <w:r w:rsidR="00AB36E0">
          <w:rPr>
            <w:noProof/>
            <w:webHidden/>
          </w:rPr>
          <w:fldChar w:fldCharType="begin"/>
        </w:r>
        <w:r w:rsidR="00AB36E0">
          <w:rPr>
            <w:noProof/>
            <w:webHidden/>
          </w:rPr>
          <w:instrText xml:space="preserve"> PAGEREF _Toc65239062 \h </w:instrText>
        </w:r>
        <w:r w:rsidR="00AB36E0">
          <w:rPr>
            <w:noProof/>
            <w:webHidden/>
          </w:rPr>
        </w:r>
        <w:r w:rsidR="00AB36E0">
          <w:rPr>
            <w:noProof/>
            <w:webHidden/>
          </w:rPr>
          <w:fldChar w:fldCharType="separate"/>
        </w:r>
        <w:r w:rsidR="00A425D9">
          <w:rPr>
            <w:noProof/>
            <w:webHidden/>
          </w:rPr>
          <w:t>11</w:t>
        </w:r>
        <w:r w:rsidR="00AB36E0">
          <w:rPr>
            <w:noProof/>
            <w:webHidden/>
          </w:rPr>
          <w:fldChar w:fldCharType="end"/>
        </w:r>
      </w:hyperlink>
    </w:p>
    <w:p w14:paraId="179AD089" w14:textId="49FA3349" w:rsidR="00AB36E0" w:rsidRDefault="004619DA">
      <w:pPr>
        <w:pStyle w:val="TOC1"/>
        <w:tabs>
          <w:tab w:val="right" w:leader="dot" w:pos="9350"/>
        </w:tabs>
        <w:rPr>
          <w:rFonts w:asciiTheme="minorHAnsi" w:eastAsiaTheme="minorEastAsia" w:hAnsiTheme="minorHAnsi" w:cstheme="minorBidi"/>
          <w:noProof/>
        </w:rPr>
      </w:pPr>
      <w:hyperlink w:anchor="_Toc65239063" w:history="1">
        <w:r w:rsidR="00AB36E0" w:rsidRPr="007B5164">
          <w:rPr>
            <w:rStyle w:val="Hyperlink"/>
            <w:rFonts w:asciiTheme="majorHAnsi" w:hAnsiTheme="majorHAnsi" w:cstheme="majorHAnsi"/>
            <w:noProof/>
          </w:rPr>
          <w:t>Unit 1, Segment 1: Broker Disclosure List</w:t>
        </w:r>
        <w:r w:rsidR="00AB36E0">
          <w:rPr>
            <w:noProof/>
            <w:webHidden/>
          </w:rPr>
          <w:tab/>
        </w:r>
        <w:r w:rsidR="00AB36E0">
          <w:rPr>
            <w:noProof/>
            <w:webHidden/>
          </w:rPr>
          <w:fldChar w:fldCharType="begin"/>
        </w:r>
        <w:r w:rsidR="00AB36E0">
          <w:rPr>
            <w:noProof/>
            <w:webHidden/>
          </w:rPr>
          <w:instrText xml:space="preserve"> PAGEREF _Toc65239063 \h </w:instrText>
        </w:r>
        <w:r w:rsidR="00AB36E0">
          <w:rPr>
            <w:noProof/>
            <w:webHidden/>
          </w:rPr>
        </w:r>
        <w:r w:rsidR="00AB36E0">
          <w:rPr>
            <w:noProof/>
            <w:webHidden/>
          </w:rPr>
          <w:fldChar w:fldCharType="separate"/>
        </w:r>
        <w:r w:rsidR="00A425D9">
          <w:rPr>
            <w:noProof/>
            <w:webHidden/>
          </w:rPr>
          <w:t>12</w:t>
        </w:r>
        <w:r w:rsidR="00AB36E0">
          <w:rPr>
            <w:noProof/>
            <w:webHidden/>
          </w:rPr>
          <w:fldChar w:fldCharType="end"/>
        </w:r>
      </w:hyperlink>
    </w:p>
    <w:p w14:paraId="293ECA93" w14:textId="55EADB8C" w:rsidR="00AB36E0" w:rsidRDefault="004619DA">
      <w:pPr>
        <w:pStyle w:val="TOC1"/>
        <w:tabs>
          <w:tab w:val="right" w:leader="dot" w:pos="9350"/>
        </w:tabs>
        <w:rPr>
          <w:rFonts w:asciiTheme="minorHAnsi" w:eastAsiaTheme="minorEastAsia" w:hAnsiTheme="minorHAnsi" w:cstheme="minorBidi"/>
          <w:noProof/>
        </w:rPr>
      </w:pPr>
      <w:hyperlink w:anchor="_Toc65239064" w:history="1">
        <w:r w:rsidR="00AB36E0" w:rsidRPr="007B5164">
          <w:rPr>
            <w:rStyle w:val="Hyperlink"/>
            <w:rFonts w:asciiTheme="majorHAnsi" w:hAnsiTheme="majorHAnsi" w:cstheme="majorHAnsi"/>
            <w:noProof/>
          </w:rPr>
          <w:t>Unit 1, Segment 2: Seller Disclosures</w:t>
        </w:r>
        <w:r w:rsidR="00AB36E0">
          <w:rPr>
            <w:noProof/>
            <w:webHidden/>
          </w:rPr>
          <w:tab/>
        </w:r>
        <w:r w:rsidR="00AB36E0">
          <w:rPr>
            <w:noProof/>
            <w:webHidden/>
          </w:rPr>
          <w:fldChar w:fldCharType="begin"/>
        </w:r>
        <w:r w:rsidR="00AB36E0">
          <w:rPr>
            <w:noProof/>
            <w:webHidden/>
          </w:rPr>
          <w:instrText xml:space="preserve"> PAGEREF _Toc65239064 \h </w:instrText>
        </w:r>
        <w:r w:rsidR="00AB36E0">
          <w:rPr>
            <w:noProof/>
            <w:webHidden/>
          </w:rPr>
        </w:r>
        <w:r w:rsidR="00AB36E0">
          <w:rPr>
            <w:noProof/>
            <w:webHidden/>
          </w:rPr>
          <w:fldChar w:fldCharType="separate"/>
        </w:r>
        <w:r w:rsidR="00A425D9">
          <w:rPr>
            <w:noProof/>
            <w:webHidden/>
          </w:rPr>
          <w:t>13</w:t>
        </w:r>
        <w:r w:rsidR="00AB36E0">
          <w:rPr>
            <w:noProof/>
            <w:webHidden/>
          </w:rPr>
          <w:fldChar w:fldCharType="end"/>
        </w:r>
      </w:hyperlink>
    </w:p>
    <w:p w14:paraId="68EE22B8" w14:textId="3D431611" w:rsidR="00AB36E0" w:rsidRDefault="004619DA">
      <w:pPr>
        <w:pStyle w:val="TOC2"/>
        <w:tabs>
          <w:tab w:val="right" w:leader="dot" w:pos="9350"/>
        </w:tabs>
        <w:rPr>
          <w:rFonts w:asciiTheme="minorHAnsi" w:eastAsiaTheme="minorEastAsia" w:hAnsiTheme="minorHAnsi" w:cstheme="minorBidi"/>
          <w:noProof/>
        </w:rPr>
      </w:pPr>
      <w:hyperlink w:anchor="_Toc65239065" w:history="1">
        <w:r w:rsidR="00AB36E0" w:rsidRPr="007B5164">
          <w:rPr>
            <w:rStyle w:val="Hyperlink"/>
            <w:rFonts w:asciiTheme="majorHAnsi" w:hAnsiTheme="majorHAnsi" w:cstheme="majorHAnsi"/>
            <w:i/>
            <w:noProof/>
          </w:rPr>
          <w:t>Hill v. Jones</w:t>
        </w:r>
        <w:r w:rsidR="00AB36E0" w:rsidRPr="007B5164">
          <w:rPr>
            <w:rStyle w:val="Hyperlink"/>
            <w:rFonts w:asciiTheme="majorHAnsi" w:hAnsiTheme="majorHAnsi" w:cstheme="majorHAnsi"/>
            <w:noProof/>
          </w:rPr>
          <w:t>, 151 Ariz. 81, 725 P.2d 1115 (App. 1986)</w:t>
        </w:r>
        <w:r w:rsidR="00AB36E0">
          <w:rPr>
            <w:noProof/>
            <w:webHidden/>
          </w:rPr>
          <w:tab/>
        </w:r>
        <w:r w:rsidR="00AB36E0">
          <w:rPr>
            <w:noProof/>
            <w:webHidden/>
          </w:rPr>
          <w:fldChar w:fldCharType="begin"/>
        </w:r>
        <w:r w:rsidR="00AB36E0">
          <w:rPr>
            <w:noProof/>
            <w:webHidden/>
          </w:rPr>
          <w:instrText xml:space="preserve"> PAGEREF _Toc65239065 \h </w:instrText>
        </w:r>
        <w:r w:rsidR="00AB36E0">
          <w:rPr>
            <w:noProof/>
            <w:webHidden/>
          </w:rPr>
        </w:r>
        <w:r w:rsidR="00AB36E0">
          <w:rPr>
            <w:noProof/>
            <w:webHidden/>
          </w:rPr>
          <w:fldChar w:fldCharType="separate"/>
        </w:r>
        <w:r w:rsidR="00A425D9">
          <w:rPr>
            <w:noProof/>
            <w:webHidden/>
          </w:rPr>
          <w:t>13</w:t>
        </w:r>
        <w:r w:rsidR="00AB36E0">
          <w:rPr>
            <w:noProof/>
            <w:webHidden/>
          </w:rPr>
          <w:fldChar w:fldCharType="end"/>
        </w:r>
      </w:hyperlink>
    </w:p>
    <w:p w14:paraId="0E6E9A02" w14:textId="21A8C37F" w:rsidR="00AB36E0" w:rsidRDefault="004619DA">
      <w:pPr>
        <w:pStyle w:val="TOC2"/>
        <w:tabs>
          <w:tab w:val="right" w:leader="dot" w:pos="9350"/>
        </w:tabs>
        <w:rPr>
          <w:rFonts w:asciiTheme="minorHAnsi" w:eastAsiaTheme="minorEastAsia" w:hAnsiTheme="minorHAnsi" w:cstheme="minorBidi"/>
          <w:noProof/>
        </w:rPr>
      </w:pPr>
      <w:hyperlink w:anchor="_Toc65239067" w:history="1">
        <w:r w:rsidR="00AB36E0" w:rsidRPr="007B5164">
          <w:rPr>
            <w:rStyle w:val="Hyperlink"/>
            <w:rFonts w:asciiTheme="majorHAnsi" w:hAnsiTheme="majorHAnsi" w:cstheme="majorHAnsi"/>
            <w:i/>
            <w:noProof/>
          </w:rPr>
          <w:t>S. Development Corp. v. Pima Capital Management Co.</w:t>
        </w:r>
        <w:r w:rsidR="00AB36E0" w:rsidRPr="007B5164">
          <w:rPr>
            <w:rStyle w:val="Hyperlink"/>
            <w:rFonts w:asciiTheme="majorHAnsi" w:hAnsiTheme="majorHAnsi" w:cstheme="majorHAnsi"/>
            <w:noProof/>
          </w:rPr>
          <w:t>, 201 Ariz. 10, 31 P.3d 123 (App. 2002)</w:t>
        </w:r>
        <w:r w:rsidR="00AB36E0">
          <w:rPr>
            <w:noProof/>
            <w:webHidden/>
          </w:rPr>
          <w:tab/>
        </w:r>
        <w:r w:rsidR="00AB36E0">
          <w:rPr>
            <w:noProof/>
            <w:webHidden/>
          </w:rPr>
          <w:fldChar w:fldCharType="begin"/>
        </w:r>
        <w:r w:rsidR="00AB36E0">
          <w:rPr>
            <w:noProof/>
            <w:webHidden/>
          </w:rPr>
          <w:instrText xml:space="preserve"> PAGEREF _Toc65239067 \h </w:instrText>
        </w:r>
        <w:r w:rsidR="00AB36E0">
          <w:rPr>
            <w:noProof/>
            <w:webHidden/>
          </w:rPr>
        </w:r>
        <w:r w:rsidR="00AB36E0">
          <w:rPr>
            <w:noProof/>
            <w:webHidden/>
          </w:rPr>
          <w:fldChar w:fldCharType="separate"/>
        </w:r>
        <w:r w:rsidR="00A425D9">
          <w:rPr>
            <w:noProof/>
            <w:webHidden/>
          </w:rPr>
          <w:t>15</w:t>
        </w:r>
        <w:r w:rsidR="00AB36E0">
          <w:rPr>
            <w:noProof/>
            <w:webHidden/>
          </w:rPr>
          <w:fldChar w:fldCharType="end"/>
        </w:r>
      </w:hyperlink>
    </w:p>
    <w:p w14:paraId="441703CF" w14:textId="30273437" w:rsidR="00AB36E0" w:rsidRDefault="004619DA">
      <w:pPr>
        <w:pStyle w:val="TOC1"/>
        <w:tabs>
          <w:tab w:val="right" w:leader="dot" w:pos="9350"/>
        </w:tabs>
        <w:rPr>
          <w:rFonts w:asciiTheme="minorHAnsi" w:eastAsiaTheme="minorEastAsia" w:hAnsiTheme="minorHAnsi" w:cstheme="minorBidi"/>
          <w:noProof/>
        </w:rPr>
      </w:pPr>
      <w:hyperlink w:anchor="_Toc65239068" w:history="1">
        <w:r w:rsidR="00AB36E0" w:rsidRPr="007B5164">
          <w:rPr>
            <w:rStyle w:val="Hyperlink"/>
            <w:rFonts w:asciiTheme="majorHAnsi" w:hAnsiTheme="majorHAnsi" w:cstheme="majorHAnsi"/>
            <w:noProof/>
          </w:rPr>
          <w:t>Unit 1, Segment 3: Buyer Disclosures</w:t>
        </w:r>
        <w:r w:rsidR="00AB36E0">
          <w:rPr>
            <w:noProof/>
            <w:webHidden/>
          </w:rPr>
          <w:tab/>
        </w:r>
        <w:r w:rsidR="00AB36E0">
          <w:rPr>
            <w:noProof/>
            <w:webHidden/>
          </w:rPr>
          <w:fldChar w:fldCharType="begin"/>
        </w:r>
        <w:r w:rsidR="00AB36E0">
          <w:rPr>
            <w:noProof/>
            <w:webHidden/>
          </w:rPr>
          <w:instrText xml:space="preserve"> PAGEREF _Toc65239068 \h </w:instrText>
        </w:r>
        <w:r w:rsidR="00AB36E0">
          <w:rPr>
            <w:noProof/>
            <w:webHidden/>
          </w:rPr>
        </w:r>
        <w:r w:rsidR="00AB36E0">
          <w:rPr>
            <w:noProof/>
            <w:webHidden/>
          </w:rPr>
          <w:fldChar w:fldCharType="separate"/>
        </w:r>
        <w:r w:rsidR="00A425D9">
          <w:rPr>
            <w:noProof/>
            <w:webHidden/>
          </w:rPr>
          <w:t>17</w:t>
        </w:r>
        <w:r w:rsidR="00AB36E0">
          <w:rPr>
            <w:noProof/>
            <w:webHidden/>
          </w:rPr>
          <w:fldChar w:fldCharType="end"/>
        </w:r>
      </w:hyperlink>
    </w:p>
    <w:p w14:paraId="41FA082C" w14:textId="1E26A794" w:rsidR="00AB36E0" w:rsidRDefault="004619DA">
      <w:pPr>
        <w:pStyle w:val="TOC1"/>
        <w:tabs>
          <w:tab w:val="right" w:leader="dot" w:pos="9350"/>
        </w:tabs>
        <w:rPr>
          <w:rFonts w:asciiTheme="minorHAnsi" w:eastAsiaTheme="minorEastAsia" w:hAnsiTheme="minorHAnsi" w:cstheme="minorBidi"/>
          <w:noProof/>
        </w:rPr>
      </w:pPr>
      <w:hyperlink w:anchor="_Toc65239069" w:history="1">
        <w:r w:rsidR="00AB36E0" w:rsidRPr="007B5164">
          <w:rPr>
            <w:rStyle w:val="Hyperlink"/>
            <w:rFonts w:asciiTheme="majorHAnsi" w:hAnsiTheme="majorHAnsi" w:cstheme="majorHAnsi"/>
            <w:noProof/>
          </w:rPr>
          <w:t>Unit 1, Segment 4: Statutory Disclosures</w:t>
        </w:r>
        <w:r w:rsidR="00AB36E0">
          <w:rPr>
            <w:noProof/>
            <w:webHidden/>
          </w:rPr>
          <w:tab/>
        </w:r>
        <w:r w:rsidR="00AB36E0">
          <w:rPr>
            <w:noProof/>
            <w:webHidden/>
          </w:rPr>
          <w:fldChar w:fldCharType="begin"/>
        </w:r>
        <w:r w:rsidR="00AB36E0">
          <w:rPr>
            <w:noProof/>
            <w:webHidden/>
          </w:rPr>
          <w:instrText xml:space="preserve"> PAGEREF _Toc65239069 \h </w:instrText>
        </w:r>
        <w:r w:rsidR="00AB36E0">
          <w:rPr>
            <w:noProof/>
            <w:webHidden/>
          </w:rPr>
        </w:r>
        <w:r w:rsidR="00AB36E0">
          <w:rPr>
            <w:noProof/>
            <w:webHidden/>
          </w:rPr>
          <w:fldChar w:fldCharType="separate"/>
        </w:r>
        <w:r w:rsidR="00A425D9">
          <w:rPr>
            <w:noProof/>
            <w:webHidden/>
          </w:rPr>
          <w:t>18</w:t>
        </w:r>
        <w:r w:rsidR="00AB36E0">
          <w:rPr>
            <w:noProof/>
            <w:webHidden/>
          </w:rPr>
          <w:fldChar w:fldCharType="end"/>
        </w:r>
      </w:hyperlink>
    </w:p>
    <w:p w14:paraId="30185002" w14:textId="7389AFA8" w:rsidR="00AB36E0" w:rsidRDefault="004619DA">
      <w:pPr>
        <w:pStyle w:val="TOC1"/>
        <w:tabs>
          <w:tab w:val="right" w:leader="dot" w:pos="9350"/>
        </w:tabs>
        <w:rPr>
          <w:rFonts w:asciiTheme="minorHAnsi" w:eastAsiaTheme="minorEastAsia" w:hAnsiTheme="minorHAnsi" w:cstheme="minorBidi"/>
          <w:noProof/>
        </w:rPr>
      </w:pPr>
      <w:hyperlink w:anchor="_Toc65239070" w:history="1">
        <w:r w:rsidR="00AB36E0" w:rsidRPr="007B5164">
          <w:rPr>
            <w:rStyle w:val="Hyperlink"/>
            <w:rFonts w:asciiTheme="majorHAnsi" w:hAnsiTheme="majorHAnsi" w:cstheme="majorHAnsi"/>
            <w:noProof/>
          </w:rPr>
          <w:t xml:space="preserve">Unit 2, Segment 1: Due Diligence and the </w:t>
        </w:r>
        <w:r w:rsidR="00AB36E0" w:rsidRPr="007B5164">
          <w:rPr>
            <w:rStyle w:val="Hyperlink"/>
            <w:rFonts w:asciiTheme="majorHAnsi" w:hAnsiTheme="majorHAnsi" w:cstheme="majorHAnsi"/>
            <w:i/>
            <w:noProof/>
          </w:rPr>
          <w:t>Buyer Advisory</w:t>
        </w:r>
        <w:r w:rsidR="00AB36E0">
          <w:rPr>
            <w:noProof/>
            <w:webHidden/>
          </w:rPr>
          <w:tab/>
        </w:r>
        <w:r w:rsidR="00AB36E0">
          <w:rPr>
            <w:noProof/>
            <w:webHidden/>
          </w:rPr>
          <w:fldChar w:fldCharType="begin"/>
        </w:r>
        <w:r w:rsidR="00AB36E0">
          <w:rPr>
            <w:noProof/>
            <w:webHidden/>
          </w:rPr>
          <w:instrText xml:space="preserve"> PAGEREF _Toc65239070 \h </w:instrText>
        </w:r>
        <w:r w:rsidR="00AB36E0">
          <w:rPr>
            <w:noProof/>
            <w:webHidden/>
          </w:rPr>
        </w:r>
        <w:r w:rsidR="00AB36E0">
          <w:rPr>
            <w:noProof/>
            <w:webHidden/>
          </w:rPr>
          <w:fldChar w:fldCharType="separate"/>
        </w:r>
        <w:r w:rsidR="00A425D9">
          <w:rPr>
            <w:noProof/>
            <w:webHidden/>
          </w:rPr>
          <w:t>25</w:t>
        </w:r>
        <w:r w:rsidR="00AB36E0">
          <w:rPr>
            <w:noProof/>
            <w:webHidden/>
          </w:rPr>
          <w:fldChar w:fldCharType="end"/>
        </w:r>
      </w:hyperlink>
    </w:p>
    <w:p w14:paraId="2FC23644" w14:textId="105A1646" w:rsidR="00AB36E0" w:rsidRDefault="004619DA">
      <w:pPr>
        <w:pStyle w:val="TOC1"/>
        <w:tabs>
          <w:tab w:val="right" w:leader="dot" w:pos="9350"/>
        </w:tabs>
        <w:rPr>
          <w:rFonts w:asciiTheme="minorHAnsi" w:eastAsiaTheme="minorEastAsia" w:hAnsiTheme="minorHAnsi" w:cstheme="minorBidi"/>
          <w:noProof/>
        </w:rPr>
      </w:pPr>
      <w:hyperlink w:anchor="_Toc65239071" w:history="1">
        <w:r w:rsidR="00AB36E0" w:rsidRPr="007B5164">
          <w:rPr>
            <w:rStyle w:val="Hyperlink"/>
            <w:rFonts w:asciiTheme="majorHAnsi" w:hAnsiTheme="majorHAnsi" w:cstheme="majorHAnsi"/>
            <w:noProof/>
          </w:rPr>
          <w:t>Unit 2, Segment 2: Document Review</w:t>
        </w:r>
        <w:r w:rsidR="00AB36E0">
          <w:rPr>
            <w:noProof/>
            <w:webHidden/>
          </w:rPr>
          <w:tab/>
        </w:r>
        <w:r w:rsidR="00AB36E0">
          <w:rPr>
            <w:noProof/>
            <w:webHidden/>
          </w:rPr>
          <w:fldChar w:fldCharType="begin"/>
        </w:r>
        <w:r w:rsidR="00AB36E0">
          <w:rPr>
            <w:noProof/>
            <w:webHidden/>
          </w:rPr>
          <w:instrText xml:space="preserve"> PAGEREF _Toc65239071 \h </w:instrText>
        </w:r>
        <w:r w:rsidR="00AB36E0">
          <w:rPr>
            <w:noProof/>
            <w:webHidden/>
          </w:rPr>
        </w:r>
        <w:r w:rsidR="00AB36E0">
          <w:rPr>
            <w:noProof/>
            <w:webHidden/>
          </w:rPr>
          <w:fldChar w:fldCharType="separate"/>
        </w:r>
        <w:r w:rsidR="00A425D9">
          <w:rPr>
            <w:noProof/>
            <w:webHidden/>
          </w:rPr>
          <w:t>26</w:t>
        </w:r>
        <w:r w:rsidR="00AB36E0">
          <w:rPr>
            <w:noProof/>
            <w:webHidden/>
          </w:rPr>
          <w:fldChar w:fldCharType="end"/>
        </w:r>
      </w:hyperlink>
    </w:p>
    <w:p w14:paraId="48A8AADD" w14:textId="254DFC1F" w:rsidR="00AB36E0" w:rsidRDefault="004619DA">
      <w:pPr>
        <w:pStyle w:val="TOC1"/>
        <w:tabs>
          <w:tab w:val="right" w:leader="dot" w:pos="9350"/>
        </w:tabs>
        <w:rPr>
          <w:rFonts w:asciiTheme="minorHAnsi" w:eastAsiaTheme="minorEastAsia" w:hAnsiTheme="minorHAnsi" w:cstheme="minorBidi"/>
          <w:noProof/>
        </w:rPr>
      </w:pPr>
      <w:hyperlink w:anchor="_Toc65239072" w:history="1">
        <w:r w:rsidR="00AB36E0" w:rsidRPr="007B5164">
          <w:rPr>
            <w:rStyle w:val="Hyperlink"/>
            <w:rFonts w:asciiTheme="majorHAnsi" w:hAnsiTheme="majorHAnsi" w:cstheme="majorHAnsi"/>
            <w:noProof/>
          </w:rPr>
          <w:t>Unit 2, Segment 3: Physical Inspections</w:t>
        </w:r>
        <w:r w:rsidR="00AB36E0">
          <w:rPr>
            <w:noProof/>
            <w:webHidden/>
          </w:rPr>
          <w:tab/>
        </w:r>
        <w:r w:rsidR="00AB36E0">
          <w:rPr>
            <w:noProof/>
            <w:webHidden/>
          </w:rPr>
          <w:fldChar w:fldCharType="begin"/>
        </w:r>
        <w:r w:rsidR="00AB36E0">
          <w:rPr>
            <w:noProof/>
            <w:webHidden/>
          </w:rPr>
          <w:instrText xml:space="preserve"> PAGEREF _Toc65239072 \h </w:instrText>
        </w:r>
        <w:r w:rsidR="00AB36E0">
          <w:rPr>
            <w:noProof/>
            <w:webHidden/>
          </w:rPr>
        </w:r>
        <w:r w:rsidR="00AB36E0">
          <w:rPr>
            <w:noProof/>
            <w:webHidden/>
          </w:rPr>
          <w:fldChar w:fldCharType="separate"/>
        </w:r>
        <w:r w:rsidR="00A425D9">
          <w:rPr>
            <w:noProof/>
            <w:webHidden/>
          </w:rPr>
          <w:t>30</w:t>
        </w:r>
        <w:r w:rsidR="00AB36E0">
          <w:rPr>
            <w:noProof/>
            <w:webHidden/>
          </w:rPr>
          <w:fldChar w:fldCharType="end"/>
        </w:r>
      </w:hyperlink>
    </w:p>
    <w:p w14:paraId="09AFCA2A" w14:textId="67341CA7" w:rsidR="00AB36E0" w:rsidRDefault="004619DA">
      <w:pPr>
        <w:pStyle w:val="TOC1"/>
        <w:tabs>
          <w:tab w:val="right" w:leader="dot" w:pos="9350"/>
        </w:tabs>
        <w:rPr>
          <w:rFonts w:asciiTheme="minorHAnsi" w:eastAsiaTheme="minorEastAsia" w:hAnsiTheme="minorHAnsi" w:cstheme="minorBidi"/>
          <w:noProof/>
        </w:rPr>
      </w:pPr>
      <w:hyperlink w:anchor="_Toc65239073" w:history="1">
        <w:r w:rsidR="00AB36E0" w:rsidRPr="007B5164">
          <w:rPr>
            <w:rStyle w:val="Hyperlink"/>
            <w:rFonts w:asciiTheme="majorHAnsi" w:hAnsiTheme="majorHAnsi" w:cstheme="majorHAnsi"/>
            <w:noProof/>
          </w:rPr>
          <w:t>Unit 2, Segment 4: Surrounding Area Conditions</w:t>
        </w:r>
        <w:r w:rsidR="00AB36E0">
          <w:rPr>
            <w:noProof/>
            <w:webHidden/>
          </w:rPr>
          <w:tab/>
        </w:r>
        <w:r w:rsidR="00AB36E0">
          <w:rPr>
            <w:noProof/>
            <w:webHidden/>
          </w:rPr>
          <w:fldChar w:fldCharType="begin"/>
        </w:r>
        <w:r w:rsidR="00AB36E0">
          <w:rPr>
            <w:noProof/>
            <w:webHidden/>
          </w:rPr>
          <w:instrText xml:space="preserve"> PAGEREF _Toc65239073 \h </w:instrText>
        </w:r>
        <w:r w:rsidR="00AB36E0">
          <w:rPr>
            <w:noProof/>
            <w:webHidden/>
          </w:rPr>
        </w:r>
        <w:r w:rsidR="00AB36E0">
          <w:rPr>
            <w:noProof/>
            <w:webHidden/>
          </w:rPr>
          <w:fldChar w:fldCharType="separate"/>
        </w:r>
        <w:r w:rsidR="00A425D9">
          <w:rPr>
            <w:noProof/>
            <w:webHidden/>
          </w:rPr>
          <w:t>35</w:t>
        </w:r>
        <w:r w:rsidR="00AB36E0">
          <w:rPr>
            <w:noProof/>
            <w:webHidden/>
          </w:rPr>
          <w:fldChar w:fldCharType="end"/>
        </w:r>
      </w:hyperlink>
    </w:p>
    <w:p w14:paraId="73290033" w14:textId="37EB539F" w:rsidR="00802649" w:rsidRDefault="005663B4" w:rsidP="00404060">
      <w:pPr>
        <w:jc w:val="center"/>
        <w:rPr>
          <w:rFonts w:asciiTheme="majorHAnsi" w:hAnsiTheme="majorHAnsi" w:cstheme="majorHAnsi"/>
        </w:rPr>
      </w:pPr>
      <w:r w:rsidRPr="00802649">
        <w:rPr>
          <w:rFonts w:asciiTheme="majorHAnsi" w:hAnsiTheme="majorHAnsi" w:cstheme="majorHAnsi"/>
        </w:rPr>
        <w:fldChar w:fldCharType="end"/>
      </w:r>
    </w:p>
    <w:p w14:paraId="06F9A4CF" w14:textId="77777777" w:rsidR="00E257D7" w:rsidRPr="00802649" w:rsidRDefault="00E257D7" w:rsidP="00404060">
      <w:pPr>
        <w:jc w:val="center"/>
        <w:rPr>
          <w:rFonts w:asciiTheme="majorHAnsi" w:hAnsiTheme="majorHAnsi" w:cstheme="majorHAnsi"/>
          <w:b/>
          <w:bCs/>
          <w:sz w:val="20"/>
          <w:szCs w:val="20"/>
        </w:rPr>
      </w:pPr>
      <w:r w:rsidRPr="00802649">
        <w:rPr>
          <w:rFonts w:asciiTheme="majorHAnsi" w:hAnsiTheme="majorHAnsi" w:cstheme="majorHAnsi"/>
          <w:b/>
          <w:bCs/>
          <w:sz w:val="20"/>
          <w:szCs w:val="20"/>
        </w:rPr>
        <w:t xml:space="preserve"> THE OPINIONS EXPRESSED IN THESE MATERIALS AND IN THE ORAL PRESENTATIONS ARE NOT NECESSARILY THOSE OF THE ARIZONA ASSOCIATION OF REALTORS®.</w:t>
      </w:r>
    </w:p>
    <w:p w14:paraId="32344B7A" w14:textId="77777777" w:rsidR="00E257D7" w:rsidRPr="00802649" w:rsidRDefault="00E257D7" w:rsidP="00404060">
      <w:pPr>
        <w:spacing w:after="0" w:line="240" w:lineRule="auto"/>
        <w:jc w:val="center"/>
        <w:rPr>
          <w:rFonts w:asciiTheme="majorHAnsi" w:hAnsiTheme="majorHAnsi" w:cstheme="majorHAnsi"/>
          <w:b/>
          <w:bCs/>
          <w:sz w:val="20"/>
          <w:szCs w:val="20"/>
        </w:rPr>
      </w:pPr>
    </w:p>
    <w:p w14:paraId="1B405C97" w14:textId="77777777" w:rsidR="00E257D7" w:rsidRPr="00802649" w:rsidRDefault="00E257D7" w:rsidP="00404060">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napToGrid w:val="0"/>
          <w:sz w:val="20"/>
          <w:szCs w:val="20"/>
        </w:rPr>
        <w:t xml:space="preserve">THIS INFORMATION IS PROVIDED FOR DISCUSSION PURPOSES ONLY AND NOT AS DEFINITIVE LEGAL ADVICE.  </w:t>
      </w:r>
      <w:r w:rsidRPr="00802649">
        <w:rPr>
          <w:rFonts w:asciiTheme="majorHAnsi" w:hAnsiTheme="majorHAnsi" w:cstheme="majorHAnsi"/>
          <w:b/>
          <w:bCs/>
          <w:sz w:val="20"/>
          <w:szCs w:val="20"/>
        </w:rPr>
        <w:t>NEITHER THE SPEAKERS NOR THE MATERIALS PROVIDED PURPORT TO BE GIVING LEGAL ADVICE AND SHOULD NOT BE RELIED UPON FOR THAT PURPOSE.  Y</w:t>
      </w:r>
      <w:r w:rsidRPr="00802649">
        <w:rPr>
          <w:rFonts w:asciiTheme="majorHAnsi" w:hAnsiTheme="majorHAnsi" w:cstheme="majorHAnsi"/>
          <w:b/>
          <w:bCs/>
          <w:snapToGrid w:val="0"/>
          <w:sz w:val="20"/>
          <w:szCs w:val="20"/>
        </w:rPr>
        <w:t>OU SHOULD NOT ACT UPON THIS INFORMATION WITHOUT SEEKING INDEPENDENT LEGAL COUNSEL.</w:t>
      </w:r>
    </w:p>
    <w:p w14:paraId="0F2CDB75" w14:textId="77777777" w:rsidR="00E257D7" w:rsidRPr="00802649" w:rsidRDefault="00E257D7" w:rsidP="00404060">
      <w:pPr>
        <w:spacing w:after="0" w:line="240" w:lineRule="auto"/>
        <w:rPr>
          <w:rFonts w:asciiTheme="majorHAnsi" w:hAnsiTheme="majorHAnsi" w:cstheme="majorHAnsi"/>
          <w:b/>
          <w:bCs/>
          <w:sz w:val="20"/>
          <w:szCs w:val="20"/>
        </w:rPr>
      </w:pPr>
    </w:p>
    <w:p w14:paraId="46EBDFBC" w14:textId="77777777" w:rsidR="00E257D7" w:rsidRPr="00802649" w:rsidRDefault="00E257D7" w:rsidP="00404060">
      <w:pPr>
        <w:spacing w:after="0" w:line="240" w:lineRule="auto"/>
        <w:rPr>
          <w:rFonts w:asciiTheme="majorHAnsi" w:hAnsiTheme="majorHAnsi" w:cstheme="majorHAnsi"/>
          <w:b/>
          <w:bCs/>
          <w:sz w:val="20"/>
          <w:szCs w:val="20"/>
        </w:rPr>
      </w:pPr>
    </w:p>
    <w:p w14:paraId="673A0F31" w14:textId="0AC4E715" w:rsidR="00B36E6F" w:rsidRDefault="00E257D7" w:rsidP="00B36E6F">
      <w:pPr>
        <w:spacing w:after="0" w:line="240" w:lineRule="auto"/>
        <w:jc w:val="center"/>
        <w:rPr>
          <w:rFonts w:asciiTheme="majorHAnsi" w:hAnsiTheme="majorHAnsi" w:cstheme="majorHAnsi"/>
          <w:b/>
          <w:bCs/>
          <w:sz w:val="20"/>
          <w:szCs w:val="20"/>
        </w:rPr>
      </w:pPr>
      <w:r w:rsidRPr="00802649">
        <w:rPr>
          <w:rFonts w:asciiTheme="majorHAnsi" w:hAnsiTheme="majorHAnsi" w:cstheme="majorHAnsi"/>
          <w:b/>
          <w:bCs/>
          <w:sz w:val="20"/>
          <w:szCs w:val="20"/>
        </w:rPr>
        <w:t>Copyright © 20</w:t>
      </w:r>
      <w:r w:rsidR="008722E5" w:rsidRPr="00802649">
        <w:rPr>
          <w:rFonts w:asciiTheme="majorHAnsi" w:hAnsiTheme="majorHAnsi" w:cstheme="majorHAnsi"/>
          <w:b/>
          <w:bCs/>
          <w:sz w:val="20"/>
          <w:szCs w:val="20"/>
        </w:rPr>
        <w:t>10</w:t>
      </w:r>
      <w:r w:rsidR="00B36E6F">
        <w:rPr>
          <w:rFonts w:asciiTheme="majorHAnsi" w:hAnsiTheme="majorHAnsi" w:cstheme="majorHAnsi"/>
          <w:b/>
          <w:bCs/>
          <w:sz w:val="20"/>
          <w:szCs w:val="20"/>
        </w:rPr>
        <w:t xml:space="preserve">     </w:t>
      </w:r>
      <w:r w:rsidR="00B36E6F" w:rsidRPr="00802649">
        <w:rPr>
          <w:rFonts w:asciiTheme="majorHAnsi" w:hAnsiTheme="majorHAnsi" w:cstheme="majorHAnsi"/>
          <w:b/>
          <w:bCs/>
          <w:sz w:val="20"/>
          <w:szCs w:val="20"/>
        </w:rPr>
        <w:t>All Rights Reserved</w:t>
      </w:r>
    </w:p>
    <w:p w14:paraId="61F30D08" w14:textId="3965AC22" w:rsidR="00E257D7" w:rsidRPr="00802649" w:rsidRDefault="00E257D7" w:rsidP="00404060">
      <w:pPr>
        <w:spacing w:after="0" w:line="240" w:lineRule="auto"/>
        <w:jc w:val="center"/>
        <w:rPr>
          <w:rFonts w:asciiTheme="majorHAnsi" w:hAnsiTheme="majorHAnsi" w:cstheme="majorHAnsi"/>
          <w:b/>
          <w:bCs/>
          <w:sz w:val="20"/>
          <w:szCs w:val="20"/>
        </w:rPr>
      </w:pPr>
    </w:p>
    <w:p w14:paraId="4447CEA9" w14:textId="77777777" w:rsidR="00E257D7" w:rsidRPr="00802649" w:rsidRDefault="00E257D7" w:rsidP="00404060">
      <w:pPr>
        <w:spacing w:after="0" w:line="240" w:lineRule="auto"/>
        <w:jc w:val="center"/>
        <w:rPr>
          <w:rFonts w:asciiTheme="majorHAnsi" w:hAnsiTheme="majorHAnsi" w:cstheme="majorHAnsi"/>
          <w:b/>
          <w:bCs/>
          <w:sz w:val="20"/>
          <w:szCs w:val="20"/>
        </w:rPr>
      </w:pPr>
      <w:smartTag w:uri="urn:schemas-microsoft-com:office:smarttags" w:element="place">
        <w:r w:rsidRPr="00802649">
          <w:rPr>
            <w:rFonts w:asciiTheme="majorHAnsi" w:hAnsiTheme="majorHAnsi" w:cstheme="majorHAnsi"/>
            <w:b/>
            <w:bCs/>
            <w:sz w:val="20"/>
            <w:szCs w:val="20"/>
          </w:rPr>
          <w:t>Arizona</w:t>
        </w:r>
      </w:smartTag>
      <w:r w:rsidRPr="00802649">
        <w:rPr>
          <w:rFonts w:asciiTheme="majorHAnsi" w:hAnsiTheme="majorHAnsi" w:cstheme="majorHAnsi"/>
          <w:b/>
          <w:bCs/>
          <w:sz w:val="20"/>
          <w:szCs w:val="20"/>
        </w:rPr>
        <w:t xml:space="preserve"> Association of REALTORS® </w:t>
      </w:r>
    </w:p>
    <w:p w14:paraId="76AB6BC2" w14:textId="641C6575" w:rsidR="00272E11" w:rsidRPr="0028491D" w:rsidRDefault="00F83553" w:rsidP="001D1AF5">
      <w:pPr>
        <w:spacing w:after="0" w:line="240" w:lineRule="auto"/>
        <w:rPr>
          <w:rFonts w:ascii="Arial Bold" w:hAnsi="Arial Bold" w:cs="Arial"/>
          <w:b/>
          <w:bCs/>
          <w:vanish/>
          <w:color w:val="4F81BD" w:themeColor="accent1"/>
          <w:sz w:val="24"/>
          <w:szCs w:val="24"/>
        </w:rPr>
      </w:pPr>
      <w:r>
        <w:rPr>
          <w:rFonts w:asciiTheme="majorHAnsi" w:hAnsiTheme="majorHAnsi" w:cstheme="majorHAnsi"/>
          <w:b/>
          <w:bCs/>
          <w:sz w:val="20"/>
          <w:szCs w:val="20"/>
        </w:rPr>
        <w:br w:type="page"/>
      </w:r>
    </w:p>
    <w:p w14:paraId="28AC728F" w14:textId="77777777" w:rsidR="00E257D7" w:rsidRPr="00802649" w:rsidRDefault="00E257D7" w:rsidP="00D33FCA">
      <w:pPr>
        <w:pStyle w:val="Heading1"/>
        <w:rPr>
          <w:rFonts w:asciiTheme="majorHAnsi" w:hAnsiTheme="majorHAnsi" w:cstheme="majorHAnsi"/>
          <w:color w:val="auto"/>
          <w:sz w:val="32"/>
          <w:szCs w:val="32"/>
        </w:rPr>
      </w:pPr>
      <w:bookmarkStart w:id="0" w:name="_Toc65239054"/>
      <w:r w:rsidRPr="00802649">
        <w:rPr>
          <w:rFonts w:asciiTheme="majorHAnsi" w:hAnsiTheme="majorHAnsi" w:cstheme="majorHAnsi"/>
          <w:color w:val="auto"/>
          <w:sz w:val="32"/>
          <w:szCs w:val="32"/>
        </w:rPr>
        <w:lastRenderedPageBreak/>
        <w:t>Course Introduction and Learning Objectives</w:t>
      </w:r>
      <w:bookmarkEnd w:id="0"/>
    </w:p>
    <w:p w14:paraId="7AB3AAF7" w14:textId="77777777" w:rsidR="00387A52" w:rsidRDefault="00387A52" w:rsidP="00D33FCA">
      <w:pPr>
        <w:rPr>
          <w:rFonts w:asciiTheme="majorHAnsi" w:hAnsiTheme="majorHAnsi" w:cstheme="majorHAnsi"/>
          <w:b/>
          <w:sz w:val="28"/>
          <w:szCs w:val="28"/>
        </w:rPr>
      </w:pPr>
    </w:p>
    <w:p w14:paraId="59B2CFD2" w14:textId="77777777"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Introduction</w:t>
      </w:r>
    </w:p>
    <w:p w14:paraId="3BDBA280" w14:textId="77777777" w:rsidR="00E257D7" w:rsidRPr="00802649" w:rsidRDefault="00E257D7" w:rsidP="00D33FCA">
      <w:pPr>
        <w:rPr>
          <w:rFonts w:asciiTheme="majorHAnsi" w:hAnsiTheme="majorHAnsi" w:cstheme="majorHAnsi"/>
          <w:sz w:val="24"/>
          <w:szCs w:val="24"/>
        </w:rPr>
      </w:pPr>
      <w:r w:rsidRPr="00802649">
        <w:rPr>
          <w:rFonts w:asciiTheme="majorHAnsi" w:hAnsiTheme="majorHAnsi" w:cstheme="majorHAnsi"/>
          <w:sz w:val="24"/>
          <w:szCs w:val="24"/>
        </w:rPr>
        <w:t xml:space="preserve">This course addresses risk management topics and issues related to disclosures and due diligence.  The Disclosures Unit will identify risks associated with brokers’ failure to make the required disclosures to clients and customers, seller disclosure requirements under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statutes and buyer disclosures.  The Due Diligence Unit will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in the due diligence process and identify the risks associated with failing to complete the appropriate inspections and investigations.  Portions of the text in this course were taken from </w:t>
      </w:r>
      <w:r w:rsidRPr="00802649">
        <w:rPr>
          <w:rFonts w:asciiTheme="majorHAnsi" w:hAnsiTheme="majorHAnsi" w:cstheme="majorHAnsi"/>
          <w:i/>
          <w:sz w:val="24"/>
          <w:szCs w:val="24"/>
        </w:rPr>
        <w:t>Arizona Real Estate: A Professional’s Guide to Law and Practice</w:t>
      </w:r>
      <w:r w:rsidR="00813790">
        <w:rPr>
          <w:rFonts w:asciiTheme="majorHAnsi" w:hAnsiTheme="majorHAnsi" w:cstheme="majorHAnsi"/>
          <w:i/>
          <w:sz w:val="24"/>
          <w:szCs w:val="24"/>
        </w:rPr>
        <w:t xml:space="preserve"> Vol 3</w:t>
      </w:r>
      <w:r w:rsidRPr="00802649">
        <w:rPr>
          <w:rFonts w:asciiTheme="majorHAnsi" w:hAnsiTheme="majorHAnsi" w:cstheme="majorHAnsi"/>
          <w:i/>
          <w:sz w:val="24"/>
          <w:szCs w:val="24"/>
        </w:rPr>
        <w:t>,</w:t>
      </w:r>
      <w:r w:rsidRPr="00802649">
        <w:rPr>
          <w:rFonts w:asciiTheme="majorHAnsi" w:hAnsiTheme="majorHAnsi" w:cstheme="majorHAnsi"/>
          <w:sz w:val="24"/>
          <w:szCs w:val="24"/>
        </w:rPr>
        <w:t xml:space="preserve"> by K. </w:t>
      </w:r>
      <w:smartTag w:uri="urn:schemas-microsoft-com:office:smarttags" w:element="place">
        <w:r w:rsidRPr="00802649">
          <w:rPr>
            <w:rFonts w:asciiTheme="majorHAnsi" w:hAnsiTheme="majorHAnsi" w:cstheme="majorHAnsi"/>
            <w:sz w:val="24"/>
            <w:szCs w:val="24"/>
          </w:rPr>
          <w:t>Michelle Lind</w:t>
        </w:r>
      </w:smartTag>
      <w:r w:rsidRPr="00802649">
        <w:rPr>
          <w:rFonts w:asciiTheme="majorHAnsi" w:hAnsiTheme="majorHAnsi" w:cstheme="majorHAnsi"/>
          <w:sz w:val="24"/>
          <w:szCs w:val="24"/>
        </w:rPr>
        <w:t>, Esq., General Counsel for the Arizona Association of REALTORS</w:t>
      </w:r>
      <w:r w:rsidRPr="00802649">
        <w:rPr>
          <w:rFonts w:asciiTheme="majorHAnsi" w:hAnsiTheme="majorHAnsi" w:cstheme="majorHAnsi"/>
          <w:sz w:val="24"/>
          <w:szCs w:val="24"/>
          <w:vertAlign w:val="superscript"/>
        </w:rPr>
        <w:t>®</w:t>
      </w:r>
      <w:r w:rsidRPr="00802649">
        <w:rPr>
          <w:rFonts w:asciiTheme="majorHAnsi" w:hAnsiTheme="majorHAnsi" w:cstheme="majorHAnsi"/>
          <w:sz w:val="24"/>
          <w:szCs w:val="24"/>
        </w:rPr>
        <w:t>. This course covers material from chapters 14 and 16.</w:t>
      </w:r>
    </w:p>
    <w:p w14:paraId="73F5E1F6" w14:textId="77777777" w:rsidR="00387A52" w:rsidRDefault="00387A52" w:rsidP="00D33FCA">
      <w:pPr>
        <w:rPr>
          <w:rFonts w:asciiTheme="majorHAnsi" w:hAnsiTheme="majorHAnsi" w:cstheme="majorHAnsi"/>
          <w:b/>
          <w:sz w:val="28"/>
          <w:szCs w:val="28"/>
        </w:rPr>
      </w:pPr>
    </w:p>
    <w:p w14:paraId="3AEA95ED" w14:textId="77777777" w:rsidR="00E257D7" w:rsidRPr="00802649" w:rsidRDefault="00E257D7" w:rsidP="00D33FCA">
      <w:pPr>
        <w:rPr>
          <w:rFonts w:asciiTheme="majorHAnsi" w:hAnsiTheme="majorHAnsi" w:cstheme="majorHAnsi"/>
          <w:b/>
          <w:sz w:val="28"/>
          <w:szCs w:val="28"/>
        </w:rPr>
      </w:pPr>
      <w:r w:rsidRPr="00802649">
        <w:rPr>
          <w:rFonts w:asciiTheme="majorHAnsi" w:hAnsiTheme="majorHAnsi" w:cstheme="majorHAnsi"/>
          <w:b/>
          <w:sz w:val="28"/>
          <w:szCs w:val="28"/>
        </w:rPr>
        <w:t>Learning Objectives</w:t>
      </w:r>
    </w:p>
    <w:p w14:paraId="54866CCE" w14:textId="77777777" w:rsidR="00E257D7" w:rsidRPr="00802649" w:rsidRDefault="00E257D7" w:rsidP="00D33FCA">
      <w:pPr>
        <w:rPr>
          <w:rFonts w:asciiTheme="majorHAnsi" w:hAnsiTheme="majorHAnsi" w:cstheme="majorHAnsi"/>
          <w:i/>
          <w:sz w:val="24"/>
          <w:szCs w:val="24"/>
          <w:u w:val="single"/>
        </w:rPr>
      </w:pPr>
      <w:r w:rsidRPr="00802649">
        <w:rPr>
          <w:rFonts w:asciiTheme="majorHAnsi" w:hAnsiTheme="majorHAnsi" w:cstheme="majorHAnsi"/>
          <w:i/>
          <w:sz w:val="24"/>
          <w:szCs w:val="24"/>
          <w:u w:val="single"/>
        </w:rPr>
        <w:t>Upon completion of this course, students will be able to:</w:t>
      </w:r>
    </w:p>
    <w:p w14:paraId="4408EE28"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the risks associated with failing to make the required disclosures to clients and nonclients.</w:t>
      </w:r>
    </w:p>
    <w:p w14:paraId="25A54DC6" w14:textId="77777777" w:rsidR="00E257D7" w:rsidRPr="00802649" w:rsidRDefault="00E257D7" w:rsidP="00785B3D">
      <w:pPr>
        <w:pStyle w:val="ListParagraph"/>
        <w:rPr>
          <w:rFonts w:asciiTheme="majorHAnsi" w:hAnsiTheme="majorHAnsi" w:cstheme="majorHAnsi"/>
          <w:sz w:val="24"/>
          <w:szCs w:val="24"/>
        </w:rPr>
      </w:pPr>
    </w:p>
    <w:p w14:paraId="51A56538" w14:textId="77777777" w:rsidR="00E257D7" w:rsidRPr="00802649" w:rsidRDefault="00E257D7" w:rsidP="00785B3D">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Identify required seller disclosures as required by common law and </w:t>
      </w:r>
      <w:smartTag w:uri="urn:schemas-microsoft-com:office:smarttags" w:element="place">
        <w:r w:rsidRPr="00802649">
          <w:rPr>
            <w:rFonts w:asciiTheme="majorHAnsi" w:hAnsiTheme="majorHAnsi" w:cstheme="majorHAnsi"/>
            <w:sz w:val="24"/>
            <w:szCs w:val="24"/>
          </w:rPr>
          <w:t>Arizona</w:t>
        </w:r>
      </w:smartTag>
      <w:r w:rsidRPr="00802649">
        <w:rPr>
          <w:rFonts w:asciiTheme="majorHAnsi" w:hAnsiTheme="majorHAnsi" w:cstheme="majorHAnsi"/>
          <w:sz w:val="24"/>
          <w:szCs w:val="24"/>
        </w:rPr>
        <w:t xml:space="preserve"> statute.</w:t>
      </w:r>
    </w:p>
    <w:p w14:paraId="5128E956" w14:textId="77777777" w:rsidR="00E257D7" w:rsidRPr="00802649" w:rsidRDefault="00E257D7" w:rsidP="00785B3D">
      <w:pPr>
        <w:pStyle w:val="ListParagraph"/>
        <w:rPr>
          <w:rFonts w:asciiTheme="majorHAnsi" w:hAnsiTheme="majorHAnsi" w:cstheme="majorHAnsi"/>
          <w:sz w:val="24"/>
          <w:szCs w:val="24"/>
        </w:rPr>
      </w:pPr>
    </w:p>
    <w:p w14:paraId="298C79D6"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Identify items required to be disclosed by buyers in a transaction.</w:t>
      </w:r>
    </w:p>
    <w:p w14:paraId="0D2AC84F" w14:textId="77777777" w:rsidR="00E257D7" w:rsidRPr="00802649" w:rsidRDefault="00E257D7" w:rsidP="00785B3D">
      <w:pPr>
        <w:pStyle w:val="ListParagraph"/>
        <w:rPr>
          <w:rFonts w:asciiTheme="majorHAnsi" w:hAnsiTheme="majorHAnsi" w:cstheme="majorHAnsi"/>
          <w:sz w:val="24"/>
          <w:szCs w:val="24"/>
        </w:rPr>
      </w:pPr>
    </w:p>
    <w:p w14:paraId="3D532FB4"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 xml:space="preserve">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14:paraId="3B59DE4A" w14:textId="77777777" w:rsidR="00802649" w:rsidRDefault="00802649" w:rsidP="00387A52">
      <w:pPr>
        <w:pStyle w:val="ListParagraph"/>
        <w:rPr>
          <w:rFonts w:asciiTheme="majorHAnsi" w:hAnsiTheme="majorHAnsi" w:cstheme="majorHAnsi"/>
          <w:sz w:val="24"/>
          <w:szCs w:val="24"/>
        </w:rPr>
      </w:pPr>
    </w:p>
    <w:p w14:paraId="01B184D1" w14:textId="77777777" w:rsidR="00E257D7" w:rsidRPr="00802649" w:rsidRDefault="00E257D7" w:rsidP="00D33FCA">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Avoid risks associated with buyers failing to complete the appropriate inspections and investigations.</w:t>
      </w:r>
    </w:p>
    <w:p w14:paraId="124107CA" w14:textId="77777777" w:rsidR="00E257D7" w:rsidRPr="00802649" w:rsidRDefault="00E257D7" w:rsidP="00785B3D">
      <w:pPr>
        <w:pStyle w:val="ListParagraph"/>
        <w:rPr>
          <w:rFonts w:asciiTheme="majorHAnsi" w:hAnsiTheme="majorHAnsi" w:cstheme="majorHAnsi"/>
          <w:sz w:val="24"/>
          <w:szCs w:val="24"/>
        </w:rPr>
      </w:pPr>
    </w:p>
    <w:p w14:paraId="63D49D42" w14:textId="31330FC0"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03BEA9AE"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4"/>
          <w:szCs w:val="24"/>
        </w:rPr>
      </w:pPr>
    </w:p>
    <w:p w14:paraId="44802DDC"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1: Disclosure</w:t>
      </w:r>
    </w:p>
    <w:p w14:paraId="046C2CDD" w14:textId="77777777" w:rsidR="00E257D7" w:rsidRPr="00802649" w:rsidRDefault="00E257D7" w:rsidP="00F74FF8">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r w:rsidRPr="00802649">
        <w:rPr>
          <w:rFonts w:asciiTheme="majorHAnsi" w:hAnsiTheme="majorHAnsi" w:cstheme="majorHAnsi"/>
          <w:b/>
          <w:sz w:val="28"/>
          <w:szCs w:val="28"/>
        </w:rPr>
        <w:t xml:space="preserve">What you don’t know </w:t>
      </w:r>
      <w:r w:rsidRPr="00802649">
        <w:rPr>
          <w:rFonts w:asciiTheme="majorHAnsi" w:hAnsiTheme="majorHAnsi" w:cstheme="majorHAnsi"/>
          <w:b/>
          <w:i/>
          <w:sz w:val="28"/>
          <w:szCs w:val="28"/>
        </w:rPr>
        <w:t>can</w:t>
      </w:r>
      <w:r w:rsidRPr="00802649">
        <w:rPr>
          <w:rFonts w:asciiTheme="majorHAnsi" w:hAnsiTheme="majorHAnsi" w:cstheme="majorHAnsi"/>
          <w:b/>
          <w:sz w:val="28"/>
          <w:szCs w:val="28"/>
        </w:rPr>
        <w:t xml:space="preserve"> hurt you…</w:t>
      </w:r>
    </w:p>
    <w:p w14:paraId="4501C8E4" w14:textId="77777777" w:rsidR="00E257D7" w:rsidRPr="00802649" w:rsidRDefault="00277FEA" w:rsidP="00CF7C1F">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4" w:space="0" w:color="auto"/>
        </w:rPr>
        <w:drawing>
          <wp:inline distT="0" distB="0" distL="0" distR="0" wp14:anchorId="3DA268F3" wp14:editId="1AA1126A">
            <wp:extent cx="2675270" cy="4146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83510" cy="4159469"/>
                    </a:xfrm>
                    <a:prstGeom prst="rect">
                      <a:avLst/>
                    </a:prstGeom>
                    <a:noFill/>
                    <a:ln w="9525">
                      <a:noFill/>
                      <a:miter lim="800000"/>
                      <a:headEnd/>
                      <a:tailEnd/>
                    </a:ln>
                  </pic:spPr>
                </pic:pic>
              </a:graphicData>
            </a:graphic>
          </wp:inline>
        </w:drawing>
      </w:r>
    </w:p>
    <w:p w14:paraId="518EE880" w14:textId="727A622B" w:rsidR="001D1AF5" w:rsidRDefault="001D1AF5">
      <w:pPr>
        <w:spacing w:after="0" w:line="240" w:lineRule="auto"/>
        <w:rPr>
          <w:rFonts w:asciiTheme="majorHAnsi" w:eastAsia="Times New Roman" w:hAnsiTheme="majorHAnsi" w:cstheme="majorHAnsi"/>
          <w:b/>
          <w:bCs/>
          <w:color w:val="000000" w:themeColor="text1"/>
          <w:sz w:val="32"/>
          <w:szCs w:val="32"/>
        </w:rPr>
      </w:pPr>
      <w:r>
        <w:rPr>
          <w:rFonts w:asciiTheme="majorHAnsi" w:hAnsiTheme="majorHAnsi" w:cstheme="majorHAnsi"/>
          <w:color w:val="000000" w:themeColor="text1"/>
          <w:sz w:val="32"/>
          <w:szCs w:val="32"/>
        </w:rPr>
        <w:br w:type="page"/>
      </w:r>
    </w:p>
    <w:p w14:paraId="5C150C7F" w14:textId="77777777" w:rsidR="001D1AF5" w:rsidRDefault="001D1AF5" w:rsidP="004723F7">
      <w:pPr>
        <w:pStyle w:val="Heading1"/>
        <w:rPr>
          <w:rFonts w:asciiTheme="majorHAnsi" w:hAnsiTheme="majorHAnsi" w:cstheme="majorHAnsi"/>
          <w:color w:val="000000" w:themeColor="text1"/>
          <w:sz w:val="32"/>
          <w:szCs w:val="32"/>
        </w:rPr>
      </w:pPr>
    </w:p>
    <w:p w14:paraId="7084ABEA" w14:textId="488280AA" w:rsidR="00E257D7" w:rsidRPr="00F83553" w:rsidRDefault="00E257D7" w:rsidP="004723F7">
      <w:pPr>
        <w:pStyle w:val="Heading1"/>
        <w:rPr>
          <w:rFonts w:asciiTheme="majorHAnsi" w:hAnsiTheme="majorHAnsi" w:cstheme="majorHAnsi"/>
          <w:color w:val="000000" w:themeColor="text1"/>
          <w:sz w:val="32"/>
          <w:szCs w:val="32"/>
        </w:rPr>
      </w:pPr>
      <w:bookmarkStart w:id="1" w:name="_Toc65239055"/>
      <w:r w:rsidRPr="00F83553">
        <w:rPr>
          <w:rFonts w:asciiTheme="majorHAnsi" w:hAnsiTheme="majorHAnsi" w:cstheme="majorHAnsi"/>
          <w:color w:val="000000" w:themeColor="text1"/>
          <w:sz w:val="32"/>
          <w:szCs w:val="32"/>
        </w:rPr>
        <w:t>Unit 1, Segment 1: Broker Disclosures</w:t>
      </w:r>
      <w:bookmarkEnd w:id="1"/>
    </w:p>
    <w:p w14:paraId="2CC42F16" w14:textId="77777777" w:rsidR="00E257D7" w:rsidRPr="00802649" w:rsidRDefault="00E257D7">
      <w:pPr>
        <w:rPr>
          <w:rFonts w:asciiTheme="majorHAnsi" w:hAnsiTheme="majorHAnsi" w:cstheme="majorHAnsi"/>
        </w:rPr>
      </w:pPr>
    </w:p>
    <w:p w14:paraId="7D4F3B3A" w14:textId="77777777" w:rsidR="00E257D7" w:rsidRPr="00F83553" w:rsidRDefault="00E257D7" w:rsidP="001233C5">
      <w:p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Timing: 90 minutes total for this segment, approximately 10-15 minutes for each case</w:t>
      </w:r>
    </w:p>
    <w:p w14:paraId="63A010E9" w14:textId="77777777"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0EB5A9C4" w14:textId="41EB499A" w:rsidR="00E257D7" w:rsidRDefault="00E257D7" w:rsidP="001233C5">
      <w:pPr>
        <w:pStyle w:val="ListParagraph"/>
        <w:numPr>
          <w:ilvl w:val="0"/>
          <w:numId w:val="3"/>
        </w:numPr>
        <w:spacing w:after="0" w:line="240" w:lineRule="auto"/>
        <w:rPr>
          <w:rFonts w:asciiTheme="majorHAnsi" w:hAnsiTheme="majorHAnsi" w:cstheme="majorHAnsi"/>
          <w:sz w:val="24"/>
          <w:szCs w:val="24"/>
        </w:rPr>
      </w:pPr>
      <w:r w:rsidRPr="00802649">
        <w:rPr>
          <w:rFonts w:asciiTheme="majorHAnsi" w:hAnsiTheme="majorHAnsi" w:cstheme="majorHAnsi"/>
          <w:sz w:val="24"/>
          <w:szCs w:val="24"/>
        </w:rPr>
        <w:t>To identify the risks associated with failing to make the required disclosures to clients and non-clients</w:t>
      </w:r>
    </w:p>
    <w:p w14:paraId="7A736FB6" w14:textId="77777777" w:rsidR="00E9684D" w:rsidRPr="00802649" w:rsidRDefault="00E9684D" w:rsidP="00E9684D">
      <w:pPr>
        <w:pStyle w:val="ListParagraph"/>
        <w:spacing w:after="0" w:line="240" w:lineRule="auto"/>
        <w:rPr>
          <w:rFonts w:asciiTheme="majorHAnsi" w:hAnsiTheme="majorHAnsi" w:cstheme="majorHAnsi"/>
          <w:sz w:val="24"/>
          <w:szCs w:val="24"/>
        </w:rPr>
      </w:pPr>
    </w:p>
    <w:p w14:paraId="125FFC15" w14:textId="77777777" w:rsidR="00E9684D" w:rsidRPr="00E9684D" w:rsidRDefault="00E9684D" w:rsidP="00E9684D">
      <w:pPr>
        <w:ind w:left="360"/>
        <w:rPr>
          <w:vanish/>
          <w:color w:val="4F81BD" w:themeColor="accent1"/>
          <w:sz w:val="24"/>
          <w:szCs w:val="24"/>
        </w:rPr>
      </w:pPr>
      <w:r w:rsidRPr="00E9684D">
        <w:rPr>
          <w:b/>
          <w:bCs/>
          <w:vanish/>
          <w:color w:val="4F81BD" w:themeColor="accent1"/>
          <w:sz w:val="24"/>
          <w:szCs w:val="24"/>
        </w:rPr>
        <w:t xml:space="preserve">Poll #1 </w:t>
      </w:r>
      <w:r w:rsidRPr="00E9684D">
        <w:rPr>
          <w:b/>
          <w:bCs/>
          <w:vanish/>
          <w:color w:val="4F81BD" w:themeColor="accent1"/>
          <w:sz w:val="24"/>
          <w:szCs w:val="24"/>
          <w:highlight w:val="yellow"/>
        </w:rPr>
        <w:t>Intro question</w:t>
      </w:r>
    </w:p>
    <w:p w14:paraId="0756658F" w14:textId="77777777" w:rsidR="00E9684D" w:rsidRPr="00E9684D" w:rsidRDefault="00E9684D" w:rsidP="00E9684D">
      <w:pPr>
        <w:ind w:left="360"/>
        <w:rPr>
          <w:vanish/>
          <w:color w:val="4F81BD" w:themeColor="accent1"/>
          <w:sz w:val="24"/>
          <w:szCs w:val="24"/>
        </w:rPr>
      </w:pPr>
      <w:r w:rsidRPr="00E9684D">
        <w:rPr>
          <w:vanish/>
          <w:color w:val="4F81BD" w:themeColor="accent1"/>
          <w:sz w:val="24"/>
          <w:szCs w:val="24"/>
        </w:rPr>
        <w:t>How many years have you been in real estate?</w:t>
      </w:r>
    </w:p>
    <w:p w14:paraId="1882CDB5"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less than 1 year</w:t>
      </w:r>
    </w:p>
    <w:p w14:paraId="6D1A596A"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1-5 years</w:t>
      </w:r>
    </w:p>
    <w:p w14:paraId="26E52E59"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6-10 years</w:t>
      </w:r>
    </w:p>
    <w:p w14:paraId="412FC31B"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11-20 years</w:t>
      </w:r>
    </w:p>
    <w:p w14:paraId="605CB42E" w14:textId="77777777" w:rsidR="00E9684D" w:rsidRPr="00E9684D" w:rsidRDefault="00E9684D" w:rsidP="00E9684D">
      <w:pPr>
        <w:pStyle w:val="ListParagraph"/>
        <w:numPr>
          <w:ilvl w:val="0"/>
          <w:numId w:val="3"/>
        </w:numPr>
        <w:rPr>
          <w:vanish/>
          <w:color w:val="4F81BD" w:themeColor="accent1"/>
          <w:sz w:val="24"/>
          <w:szCs w:val="24"/>
        </w:rPr>
      </w:pPr>
      <w:r w:rsidRPr="00E9684D">
        <w:rPr>
          <w:vanish/>
          <w:color w:val="4F81BD" w:themeColor="accent1"/>
          <w:sz w:val="24"/>
          <w:szCs w:val="24"/>
        </w:rPr>
        <w:t>over 20 years</w:t>
      </w:r>
    </w:p>
    <w:p w14:paraId="6A3E85FD" w14:textId="65D16D4D" w:rsidR="00E257D7" w:rsidRPr="00104E2E" w:rsidRDefault="00104E2E" w:rsidP="001233C5">
      <w:pPr>
        <w:rPr>
          <w:rFonts w:asciiTheme="majorHAnsi" w:hAnsiTheme="majorHAnsi" w:cstheme="majorHAnsi"/>
          <w:vanish/>
          <w:color w:val="4F81BD" w:themeColor="accent1"/>
          <w:sz w:val="24"/>
          <w:szCs w:val="24"/>
        </w:rPr>
      </w:pPr>
      <w:r w:rsidRPr="00104E2E">
        <w:rPr>
          <w:rFonts w:asciiTheme="majorHAnsi" w:hAnsiTheme="majorHAnsi" w:cstheme="majorHAnsi"/>
          <w:vanish/>
          <w:color w:val="4F81BD" w:themeColor="accent1"/>
          <w:sz w:val="24"/>
          <w:szCs w:val="24"/>
        </w:rPr>
        <w:t>Are you a</w:t>
      </w:r>
    </w:p>
    <w:p w14:paraId="2E5B0129" w14:textId="053016C0" w:rsidR="00104E2E" w:rsidRPr="00104E2E" w:rsidRDefault="0029540A"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 xml:space="preserve">Associate </w:t>
      </w:r>
      <w:r w:rsidR="00104E2E" w:rsidRPr="00104E2E">
        <w:rPr>
          <w:rFonts w:asciiTheme="majorHAnsi" w:hAnsiTheme="majorHAnsi" w:cstheme="majorHAnsi"/>
          <w:vanish/>
          <w:color w:val="4F81BD" w:themeColor="accent1"/>
          <w:sz w:val="24"/>
          <w:szCs w:val="24"/>
        </w:rPr>
        <w:t>broker</w:t>
      </w:r>
    </w:p>
    <w:p w14:paraId="2B856F26" w14:textId="20E58683" w:rsidR="00104E2E" w:rsidRDefault="00104E2E" w:rsidP="00104E2E">
      <w:pPr>
        <w:pStyle w:val="ListParagraph"/>
        <w:numPr>
          <w:ilvl w:val="0"/>
          <w:numId w:val="74"/>
        </w:numPr>
        <w:rPr>
          <w:rFonts w:asciiTheme="majorHAnsi" w:hAnsiTheme="majorHAnsi" w:cstheme="majorHAnsi"/>
          <w:vanish/>
          <w:color w:val="4F81BD" w:themeColor="accent1"/>
          <w:sz w:val="24"/>
          <w:szCs w:val="24"/>
        </w:rPr>
      </w:pPr>
      <w:r w:rsidRPr="00104E2E">
        <w:rPr>
          <w:rFonts w:asciiTheme="majorHAnsi" w:hAnsiTheme="majorHAnsi" w:cstheme="majorHAnsi"/>
          <w:vanish/>
          <w:color w:val="4F81BD" w:themeColor="accent1"/>
          <w:sz w:val="24"/>
          <w:szCs w:val="24"/>
        </w:rPr>
        <w:t>Designated broker</w:t>
      </w:r>
    </w:p>
    <w:p w14:paraId="2066235D" w14:textId="2519A75F" w:rsidR="0029540A" w:rsidRDefault="0029540A"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Managing broker</w:t>
      </w:r>
    </w:p>
    <w:p w14:paraId="05283BC0" w14:textId="4C164B76" w:rsidR="00104E2E" w:rsidRPr="00104E2E" w:rsidRDefault="00104E2E" w:rsidP="00104E2E">
      <w:pPr>
        <w:pStyle w:val="ListParagraph"/>
        <w:numPr>
          <w:ilvl w:val="0"/>
          <w:numId w:val="74"/>
        </w:numPr>
        <w:rPr>
          <w:rFonts w:asciiTheme="majorHAnsi" w:hAnsiTheme="majorHAnsi" w:cstheme="majorHAnsi"/>
          <w:vanish/>
          <w:color w:val="4F81BD" w:themeColor="accent1"/>
          <w:sz w:val="24"/>
          <w:szCs w:val="24"/>
        </w:rPr>
      </w:pPr>
      <w:r>
        <w:rPr>
          <w:rFonts w:asciiTheme="majorHAnsi" w:hAnsiTheme="majorHAnsi" w:cstheme="majorHAnsi"/>
          <w:vanish/>
          <w:color w:val="4F81BD" w:themeColor="accent1"/>
          <w:sz w:val="24"/>
          <w:szCs w:val="24"/>
        </w:rPr>
        <w:t>Agent</w:t>
      </w:r>
    </w:p>
    <w:p w14:paraId="53DC6754" w14:textId="77777777" w:rsidR="00104E2E" w:rsidRPr="00802649" w:rsidRDefault="00104E2E" w:rsidP="001233C5">
      <w:pPr>
        <w:rPr>
          <w:rFonts w:asciiTheme="majorHAnsi" w:hAnsiTheme="majorHAnsi" w:cstheme="majorHAnsi"/>
          <w:sz w:val="24"/>
          <w:szCs w:val="24"/>
        </w:rPr>
      </w:pPr>
    </w:p>
    <w:p w14:paraId="7BA7272E" w14:textId="760A4A0C" w:rsidR="00E257D7" w:rsidRPr="00802649" w:rsidRDefault="00E257D7" w:rsidP="001233C5">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make the required disclosures to clients and nonclients?</w:t>
      </w:r>
      <w:r w:rsidR="00466E4D">
        <w:rPr>
          <w:rFonts w:asciiTheme="majorHAnsi" w:hAnsiTheme="majorHAnsi" w:cstheme="majorHAnsi"/>
          <w:b/>
          <w:sz w:val="24"/>
          <w:szCs w:val="24"/>
        </w:rPr>
        <w:t xml:space="preserve">  </w:t>
      </w:r>
      <w:r w:rsidR="0029540A">
        <w:rPr>
          <w:rFonts w:asciiTheme="majorHAnsi" w:hAnsiTheme="majorHAnsi" w:cstheme="majorHAnsi"/>
          <w:vanish/>
          <w:color w:val="4F81BD" w:themeColor="accent1"/>
          <w:sz w:val="24"/>
          <w:szCs w:val="24"/>
        </w:rPr>
        <w:t xml:space="preserve">ZOOM if you don’t do the poll:  </w:t>
      </w:r>
      <w:r w:rsidR="0029540A" w:rsidRPr="00272E11">
        <w:rPr>
          <w:rFonts w:asciiTheme="majorHAnsi" w:hAnsiTheme="majorHAnsi" w:cstheme="majorHAnsi"/>
          <w:vanish/>
          <w:color w:val="4F81BD" w:themeColor="accent1"/>
          <w:sz w:val="24"/>
          <w:szCs w:val="24"/>
        </w:rPr>
        <w:t>this could be a great breakout exercise – break into groups and have groups make a list – then report back in townhall fashion)</w:t>
      </w:r>
    </w:p>
    <w:p w14:paraId="5696FB9B"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Civil penalties</w:t>
      </w:r>
    </w:p>
    <w:p w14:paraId="793F58B9"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Misrepresentation</w:t>
      </w:r>
    </w:p>
    <w:p w14:paraId="0E3BB53C"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Liability related to undisclosed property defects</w:t>
      </w:r>
    </w:p>
    <w:p w14:paraId="23A4745F" w14:textId="77777777" w:rsidR="00E257D7" w:rsidRPr="00F83553" w:rsidRDefault="00E257D7" w:rsidP="00F83553">
      <w:pPr>
        <w:pStyle w:val="ListParagraph"/>
        <w:numPr>
          <w:ilvl w:val="0"/>
          <w:numId w:val="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Others:</w:t>
      </w:r>
    </w:p>
    <w:p w14:paraId="7711357A" w14:textId="77777777" w:rsidR="00E257D7" w:rsidRPr="00802649" w:rsidRDefault="00E257D7" w:rsidP="001233C5">
      <w:pPr>
        <w:rPr>
          <w:rFonts w:asciiTheme="majorHAnsi" w:hAnsiTheme="majorHAnsi" w:cstheme="majorHAnsi"/>
          <w:b/>
          <w:color w:val="FF0000"/>
          <w:sz w:val="24"/>
          <w:szCs w:val="24"/>
        </w:rPr>
      </w:pPr>
    </w:p>
    <w:p w14:paraId="3CD93D1E" w14:textId="77777777" w:rsidR="001D1AF5" w:rsidRPr="00802649" w:rsidRDefault="001D1AF5" w:rsidP="001D1AF5">
      <w:pPr>
        <w:rPr>
          <w:rFonts w:asciiTheme="majorHAnsi" w:hAnsiTheme="majorHAnsi" w:cstheme="majorHAnsi"/>
          <w:b/>
          <w:sz w:val="24"/>
          <w:szCs w:val="24"/>
        </w:rPr>
      </w:pPr>
      <w:r w:rsidRPr="00802649">
        <w:rPr>
          <w:rFonts w:asciiTheme="majorHAnsi" w:hAnsiTheme="majorHAnsi" w:cstheme="majorHAnsi"/>
          <w:b/>
          <w:sz w:val="24"/>
          <w:szCs w:val="24"/>
        </w:rPr>
        <w:lastRenderedPageBreak/>
        <w:t>Introduction</w:t>
      </w:r>
    </w:p>
    <w:p w14:paraId="750A833C" w14:textId="77777777" w:rsidR="001D1AF5" w:rsidRDefault="001D1AF5" w:rsidP="001D1AF5">
      <w:pPr>
        <w:rPr>
          <w:rFonts w:asciiTheme="majorHAnsi" w:hAnsiTheme="majorHAnsi" w:cstheme="majorHAnsi"/>
          <w:sz w:val="24"/>
          <w:szCs w:val="24"/>
        </w:rPr>
      </w:pPr>
      <w:r w:rsidRPr="00802649">
        <w:rPr>
          <w:rFonts w:asciiTheme="majorHAnsi" w:hAnsiTheme="majorHAnsi" w:cstheme="majorHAnsi"/>
          <w:sz w:val="24"/>
          <w:szCs w:val="24"/>
        </w:rPr>
        <w:t>Brokers owe fiduciary duties to their principals in a transaction.  However, brokers and salespersons have certain duties to disclose to clients and nonclients under common law.  The following cases highlight the required disclosures.</w:t>
      </w:r>
    </w:p>
    <w:p w14:paraId="41A9A73A" w14:textId="480A2921" w:rsidR="001D1AF5" w:rsidRPr="001D1AF5" w:rsidRDefault="001D1AF5" w:rsidP="001233C5">
      <w:pPr>
        <w:rPr>
          <w:rFonts w:asciiTheme="majorHAnsi" w:hAnsiTheme="majorHAnsi" w:cstheme="majorHAnsi"/>
          <w:color w:val="FF0000"/>
          <w:sz w:val="24"/>
          <w:szCs w:val="24"/>
        </w:rPr>
      </w:pPr>
      <w:r w:rsidRPr="00F83553">
        <w:rPr>
          <w:rFonts w:asciiTheme="majorHAnsi" w:hAnsiTheme="majorHAnsi" w:cstheme="majorHAnsi"/>
          <w:b/>
          <w:i/>
          <w:vanish/>
          <w:color w:val="FF0000"/>
          <w:sz w:val="24"/>
          <w:szCs w:val="24"/>
        </w:rPr>
        <w:t>[Note: For the following cases, the students have only the case facts and space to make notes on the decisions.]</w:t>
      </w:r>
    </w:p>
    <w:p w14:paraId="3A1CA2E3" w14:textId="77777777" w:rsidR="00E257D7" w:rsidRPr="00F83553" w:rsidRDefault="00E257D7" w:rsidP="00D41486">
      <w:pPr>
        <w:pStyle w:val="Heading2"/>
        <w:rPr>
          <w:rFonts w:asciiTheme="majorHAnsi" w:hAnsiTheme="majorHAnsi" w:cstheme="majorHAnsi"/>
          <w:color w:val="000000" w:themeColor="text1"/>
          <w:sz w:val="28"/>
          <w:szCs w:val="28"/>
          <w:lang w:val="nb-NO"/>
        </w:rPr>
      </w:pPr>
      <w:bookmarkStart w:id="2" w:name="_Toc190850886"/>
      <w:bookmarkStart w:id="3" w:name="_Toc65239056"/>
      <w:r w:rsidRPr="00F83553">
        <w:rPr>
          <w:rFonts w:asciiTheme="majorHAnsi" w:hAnsiTheme="majorHAnsi" w:cstheme="majorHAnsi"/>
          <w:i/>
          <w:color w:val="000000" w:themeColor="text1"/>
          <w:sz w:val="28"/>
          <w:szCs w:val="28"/>
          <w:lang w:val="nb-NO"/>
        </w:rPr>
        <w:t>Jennings v. Lee</w:t>
      </w:r>
      <w:r w:rsidRPr="00F83553">
        <w:rPr>
          <w:rFonts w:asciiTheme="majorHAnsi" w:hAnsiTheme="majorHAnsi" w:cstheme="majorHAnsi"/>
          <w:color w:val="000000" w:themeColor="text1"/>
          <w:sz w:val="28"/>
          <w:szCs w:val="28"/>
          <w:lang w:val="nb-NO"/>
        </w:rPr>
        <w:t>, 105 Ariz. 167, 461 P.2d 161 (1969)</w:t>
      </w:r>
      <w:bookmarkEnd w:id="2"/>
      <w:bookmarkEnd w:id="3"/>
      <w:r w:rsidR="00F43461">
        <w:rPr>
          <w:rFonts w:asciiTheme="majorHAnsi" w:hAnsiTheme="majorHAnsi" w:cstheme="majorHAnsi"/>
          <w:color w:val="000000" w:themeColor="text1"/>
          <w:sz w:val="28"/>
          <w:szCs w:val="28"/>
          <w:lang w:val="nb-NO"/>
        </w:rPr>
        <w:t xml:space="preserve">  </w:t>
      </w:r>
    </w:p>
    <w:p w14:paraId="77A1BD05" w14:textId="77777777" w:rsidR="00E257D7" w:rsidRPr="00802649" w:rsidRDefault="00E257D7" w:rsidP="003F1E1E">
      <w:pPr>
        <w:rPr>
          <w:rFonts w:asciiTheme="majorHAnsi" w:hAnsiTheme="majorHAnsi" w:cstheme="majorHAnsi"/>
          <w:i/>
          <w:color w:val="FF0000"/>
          <w:sz w:val="24"/>
          <w:szCs w:val="24"/>
          <w:lang w:val="nb-NO"/>
        </w:rPr>
      </w:pPr>
    </w:p>
    <w:p w14:paraId="12DD71DD" w14:textId="77777777" w:rsidR="00F43461" w:rsidRPr="00F43461" w:rsidRDefault="00F43461" w:rsidP="003F1E1E">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5465E74D"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646761C4"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buyer traded a parcel of land for an operating restaurant.</w:t>
      </w:r>
    </w:p>
    <w:p w14:paraId="6D1E9283"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acted as a dual agent in the transaction, representing both parties.</w:t>
      </w:r>
    </w:p>
    <w:p w14:paraId="48E7A486"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seller was aware the restaurant was not generating enough income to be sustainable.</w:t>
      </w:r>
    </w:p>
    <w:p w14:paraId="799F891C"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broker saw copies of at least two different income statements for the restaurant, provided by the seller.</w:t>
      </w:r>
    </w:p>
    <w:p w14:paraId="785BEE9B"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The income statement the broker showed to the buyer reflected inflated figures almost five times the actual profit.</w:t>
      </w:r>
    </w:p>
    <w:p w14:paraId="79DD9ED3"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When the buyer voiced her concern that she should have her attorney review the transaction, the broker discouraged her from doing so.</w:t>
      </w:r>
    </w:p>
    <w:p w14:paraId="462301DC" w14:textId="77777777" w:rsidR="00E257D7" w:rsidRPr="00802649" w:rsidRDefault="00E257D7" w:rsidP="003120B8">
      <w:pPr>
        <w:pStyle w:val="ListParagraph"/>
        <w:numPr>
          <w:ilvl w:val="0"/>
          <w:numId w:val="5"/>
        </w:numPr>
        <w:rPr>
          <w:rFonts w:asciiTheme="majorHAnsi" w:hAnsiTheme="majorHAnsi" w:cstheme="majorHAnsi"/>
          <w:sz w:val="24"/>
          <w:szCs w:val="24"/>
        </w:rPr>
      </w:pPr>
      <w:r w:rsidRPr="00802649">
        <w:rPr>
          <w:rFonts w:asciiTheme="majorHAnsi" w:hAnsiTheme="majorHAnsi" w:cstheme="majorHAnsi"/>
          <w:sz w:val="24"/>
          <w:szCs w:val="24"/>
        </w:rPr>
        <w:t>Two months after the transaction was completed, the buyer realized the discrepancy in income and filed suit against the broker and seller, seeking rescission of the contract.</w:t>
      </w:r>
    </w:p>
    <w:p w14:paraId="480B1C7A" w14:textId="15F5BDF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6D506011" w14:textId="77777777"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An appellate court ultimately granted the buyer’s request for rescission and found that the elements necessary to establish fraud on the part of the seller were present.</w:t>
      </w:r>
    </w:p>
    <w:p w14:paraId="3F824DA8" w14:textId="77777777" w:rsidR="00E257D7" w:rsidRPr="00F83553" w:rsidRDefault="00186DA5" w:rsidP="003120B8">
      <w:pPr>
        <w:pStyle w:val="ListParagraph"/>
        <w:numPr>
          <w:ilvl w:val="0"/>
          <w:numId w:val="23"/>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In regard</w:t>
      </w:r>
      <w:r w:rsidR="00E257D7" w:rsidRPr="00F83553">
        <w:rPr>
          <w:rFonts w:asciiTheme="majorHAnsi" w:hAnsiTheme="majorHAnsi" w:cstheme="majorHAnsi"/>
          <w:b/>
          <w:i/>
          <w:vanish/>
          <w:color w:val="FF0000"/>
          <w:sz w:val="24"/>
          <w:szCs w:val="24"/>
        </w:rPr>
        <w:t xml:space="preserve"> to the actions of the broker, the court found he had breached his fiduciary duty by showing the buyer the false operating statement and failing to disclose his knowledge of the correct statement, which he had in his possession.</w:t>
      </w:r>
    </w:p>
    <w:p w14:paraId="04EA0C03" w14:textId="77777777" w:rsidR="00E257D7" w:rsidRPr="00F83553" w:rsidRDefault="00E257D7" w:rsidP="003120B8">
      <w:pPr>
        <w:pStyle w:val="ListParagraph"/>
        <w:numPr>
          <w:ilvl w:val="0"/>
          <w:numId w:val="23"/>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court’s decision highlighted the broker’s duty to disclose to his client information in his possession pertaining to the transaction.</w:t>
      </w:r>
    </w:p>
    <w:p w14:paraId="21DB8ABC" w14:textId="77777777" w:rsidR="00F43461" w:rsidRPr="00F43461" w:rsidRDefault="00F43461" w:rsidP="00F43461">
      <w:pPr>
        <w:ind w:left="360"/>
        <w:rPr>
          <w:rFonts w:asciiTheme="majorHAnsi" w:hAnsiTheme="majorHAnsi" w:cstheme="majorHAnsi"/>
          <w:b/>
          <w:i/>
          <w:vanish/>
          <w:color w:val="FF0000"/>
          <w:sz w:val="24"/>
          <w:szCs w:val="24"/>
        </w:rPr>
      </w:pPr>
      <w:r w:rsidRPr="00F43461">
        <w:rPr>
          <w:rFonts w:asciiTheme="majorHAnsi" w:hAnsiTheme="majorHAnsi" w:cstheme="majorHAnsi"/>
          <w:b/>
          <w:i/>
          <w:vanish/>
          <w:color w:val="FF0000"/>
          <w:sz w:val="24"/>
          <w:szCs w:val="24"/>
        </w:rPr>
        <w:lastRenderedPageBreak/>
        <w:t>Part of fiduciary duty is to make a complete and full disclosure of all known material facts that might affect the client’s decision to sell or buy a property.</w:t>
      </w:r>
    </w:p>
    <w:p w14:paraId="7E66183F" w14:textId="6F4CD3F8" w:rsidR="00E257D7"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5DCEB68"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373FE925"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9E00DBB"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37B77E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2B2CE6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16CCC0C" w14:textId="77777777" w:rsidR="001D1AF5" w:rsidRPr="001D1AF5" w:rsidRDefault="001D1AF5" w:rsidP="001D1AF5">
      <w:pPr>
        <w:ind w:left="270"/>
        <w:rPr>
          <w:rFonts w:asciiTheme="majorHAnsi" w:hAnsiTheme="majorHAnsi" w:cstheme="majorHAnsi"/>
          <w:bCs/>
          <w:sz w:val="28"/>
          <w:szCs w:val="28"/>
        </w:rPr>
      </w:pPr>
    </w:p>
    <w:p w14:paraId="4E7936AF" w14:textId="77777777" w:rsidR="00E257D7" w:rsidRPr="00F83553" w:rsidRDefault="00E257D7" w:rsidP="00D41486">
      <w:pPr>
        <w:pStyle w:val="Heading2"/>
        <w:rPr>
          <w:rFonts w:asciiTheme="majorHAnsi" w:hAnsiTheme="majorHAnsi" w:cstheme="majorHAnsi"/>
          <w:color w:val="000000" w:themeColor="text1"/>
          <w:sz w:val="28"/>
          <w:szCs w:val="28"/>
        </w:rPr>
      </w:pPr>
      <w:bookmarkStart w:id="4" w:name="_Toc190850887"/>
      <w:bookmarkStart w:id="5" w:name="_Toc65239057"/>
      <w:r w:rsidRPr="00F83553">
        <w:rPr>
          <w:rFonts w:asciiTheme="majorHAnsi" w:hAnsiTheme="majorHAnsi" w:cstheme="majorHAnsi"/>
          <w:i/>
          <w:color w:val="000000" w:themeColor="text1"/>
          <w:sz w:val="28"/>
          <w:szCs w:val="28"/>
        </w:rPr>
        <w:t xml:space="preserve">Morley v. J. </w:t>
      </w:r>
      <w:proofErr w:type="spellStart"/>
      <w:r w:rsidRPr="00F83553">
        <w:rPr>
          <w:rFonts w:asciiTheme="majorHAnsi" w:hAnsiTheme="majorHAnsi" w:cstheme="majorHAnsi"/>
          <w:i/>
          <w:color w:val="000000" w:themeColor="text1"/>
          <w:sz w:val="28"/>
          <w:szCs w:val="28"/>
        </w:rPr>
        <w:t>Pagel</w:t>
      </w:r>
      <w:proofErr w:type="spellEnd"/>
      <w:r w:rsidRPr="00F83553">
        <w:rPr>
          <w:rFonts w:asciiTheme="majorHAnsi" w:hAnsiTheme="majorHAnsi" w:cstheme="majorHAnsi"/>
          <w:i/>
          <w:color w:val="000000" w:themeColor="text1"/>
          <w:sz w:val="28"/>
          <w:szCs w:val="28"/>
        </w:rPr>
        <w:t xml:space="preserve"> Realty &amp; Insurance</w:t>
      </w:r>
      <w:r w:rsidRPr="00F83553">
        <w:rPr>
          <w:rFonts w:asciiTheme="majorHAnsi" w:hAnsiTheme="majorHAnsi" w:cstheme="majorHAnsi"/>
          <w:color w:val="000000" w:themeColor="text1"/>
          <w:sz w:val="28"/>
          <w:szCs w:val="28"/>
        </w:rPr>
        <w:t>, 27 Ariz. App. 62, 550 P.2d 1104 (1976)</w:t>
      </w:r>
      <w:bookmarkEnd w:id="4"/>
      <w:bookmarkEnd w:id="5"/>
    </w:p>
    <w:p w14:paraId="1B33B10B"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91BA1D4" w14:textId="77777777" w:rsidR="00E257D7" w:rsidRPr="00802649" w:rsidRDefault="00E257D7" w:rsidP="003F1E1E">
      <w:pPr>
        <w:rPr>
          <w:rFonts w:asciiTheme="majorHAnsi" w:hAnsiTheme="majorHAnsi" w:cstheme="majorHAnsi"/>
          <w:b/>
          <w:sz w:val="24"/>
          <w:szCs w:val="24"/>
        </w:rPr>
      </w:pPr>
    </w:p>
    <w:p w14:paraId="241C09A6"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62AAF1A8"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 accepted an offer presented by the listing broker that provided for carryback financing but no deed of trust.</w:t>
      </w:r>
    </w:p>
    <w:p w14:paraId="53059764"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After COE, the buyers deeded the property to a third party for cash.</w:t>
      </w:r>
    </w:p>
    <w:p w14:paraId="188DBD9C"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buyers subsequently defaulted on the note and filed for bankruptcy.</w:t>
      </w:r>
    </w:p>
    <w:p w14:paraId="10AFBAD4" w14:textId="77777777" w:rsidR="00E257D7" w:rsidRPr="00802649" w:rsidRDefault="00E257D7" w:rsidP="003F1E1E">
      <w:pPr>
        <w:pStyle w:val="ListParagraph"/>
        <w:numPr>
          <w:ilvl w:val="0"/>
          <w:numId w:val="4"/>
        </w:numPr>
        <w:rPr>
          <w:rFonts w:asciiTheme="majorHAnsi" w:hAnsiTheme="majorHAnsi" w:cstheme="majorHAnsi"/>
          <w:sz w:val="24"/>
          <w:szCs w:val="24"/>
        </w:rPr>
      </w:pPr>
      <w:r w:rsidRPr="00802649">
        <w:rPr>
          <w:rFonts w:asciiTheme="majorHAnsi" w:hAnsiTheme="majorHAnsi" w:cstheme="majorHAnsi"/>
          <w:sz w:val="24"/>
          <w:szCs w:val="24"/>
        </w:rPr>
        <w:t>The sellers sued their broker for failing to inform them they should have required the buyer to execute a deed of trust, which could have been recorded to secure the buyers’ performance.</w:t>
      </w:r>
    </w:p>
    <w:p w14:paraId="409F107C" w14:textId="2D96D9EC"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31484B1A"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The broker had a duty to </w:t>
      </w:r>
      <w:r w:rsidR="00E248E3" w:rsidRPr="00F83553">
        <w:rPr>
          <w:rFonts w:asciiTheme="majorHAnsi" w:hAnsiTheme="majorHAnsi" w:cstheme="majorHAnsi"/>
          <w:b/>
          <w:i/>
          <w:vanish/>
          <w:color w:val="FF0000"/>
          <w:sz w:val="24"/>
          <w:szCs w:val="24"/>
        </w:rPr>
        <w:t>affect</w:t>
      </w:r>
      <w:r w:rsidRPr="00F83553">
        <w:rPr>
          <w:rFonts w:asciiTheme="majorHAnsi" w:hAnsiTheme="majorHAnsi" w:cstheme="majorHAnsi"/>
          <w:b/>
          <w:i/>
          <w:vanish/>
          <w:color w:val="FF0000"/>
          <w:sz w:val="24"/>
          <w:szCs w:val="24"/>
        </w:rPr>
        <w:t xml:space="preserve"> a sale for the client on the best terms possible.</w:t>
      </w:r>
    </w:p>
    <w:p w14:paraId="3D75E70F"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had a duty to disclose to the client all information the broker possessed pertaining to the transaction.</w:t>
      </w:r>
    </w:p>
    <w:p w14:paraId="6F2DF048" w14:textId="77777777" w:rsidR="00E257D7" w:rsidRPr="00F83553"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broker was obligated to inform the sellers they should require security for carryback.</w:t>
      </w:r>
    </w:p>
    <w:p w14:paraId="5067DF16" w14:textId="77777777" w:rsidR="00E257D7" w:rsidRDefault="00E257D7" w:rsidP="003120B8">
      <w:pPr>
        <w:pStyle w:val="ListParagraph"/>
        <w:numPr>
          <w:ilvl w:val="0"/>
          <w:numId w:val="22"/>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lastRenderedPageBreak/>
        <w:t>A broker should make all explanations commensurate with the education and understanding of the client and, if the broker can’t give competent advice, should allow the client the opportunity to obtain advice elsewhere.</w:t>
      </w:r>
    </w:p>
    <w:p w14:paraId="3BE61C3E" w14:textId="77777777" w:rsidR="0027447D" w:rsidRPr="00F83553" w:rsidRDefault="0027447D" w:rsidP="003120B8">
      <w:pPr>
        <w:pStyle w:val="ListParagraph"/>
        <w:numPr>
          <w:ilvl w:val="0"/>
          <w:numId w:val="22"/>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You can’t use ignorance of the law as a defense for not following or knowing about the law</w:t>
      </w:r>
    </w:p>
    <w:p w14:paraId="16A3F1C4"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A7EB569"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A02426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3B956C9"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84324CE"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E7A6C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4B0CCDB2" w14:textId="33ACE0D1" w:rsidR="00E257D7" w:rsidRPr="00F83553" w:rsidRDefault="00E257D7" w:rsidP="00D41486">
      <w:pPr>
        <w:pStyle w:val="Heading2"/>
        <w:rPr>
          <w:rFonts w:asciiTheme="majorHAnsi" w:hAnsiTheme="majorHAnsi" w:cstheme="majorHAnsi"/>
          <w:color w:val="000000" w:themeColor="text1"/>
          <w:sz w:val="28"/>
          <w:szCs w:val="28"/>
        </w:rPr>
      </w:pPr>
      <w:bookmarkStart w:id="6" w:name="_Toc190850888"/>
      <w:bookmarkStart w:id="7" w:name="_Toc65239058"/>
      <w:r w:rsidRPr="00F83553">
        <w:rPr>
          <w:rFonts w:asciiTheme="majorHAnsi" w:hAnsiTheme="majorHAnsi" w:cstheme="majorHAnsi"/>
          <w:i/>
          <w:color w:val="000000" w:themeColor="text1"/>
          <w:sz w:val="28"/>
          <w:szCs w:val="28"/>
        </w:rPr>
        <w:t xml:space="preserve">Mason v. </w:t>
      </w:r>
      <w:proofErr w:type="spellStart"/>
      <w:r w:rsidRPr="00F83553">
        <w:rPr>
          <w:rFonts w:asciiTheme="majorHAnsi" w:hAnsiTheme="majorHAnsi" w:cstheme="majorHAnsi"/>
          <w:i/>
          <w:color w:val="000000" w:themeColor="text1"/>
          <w:sz w:val="28"/>
          <w:szCs w:val="28"/>
        </w:rPr>
        <w:t>Bulleri</w:t>
      </w:r>
      <w:proofErr w:type="spellEnd"/>
      <w:r w:rsidRPr="00F83553">
        <w:rPr>
          <w:rFonts w:asciiTheme="majorHAnsi" w:hAnsiTheme="majorHAnsi" w:cstheme="majorHAnsi"/>
          <w:color w:val="000000" w:themeColor="text1"/>
          <w:sz w:val="28"/>
          <w:szCs w:val="28"/>
        </w:rPr>
        <w:t>, 25 Ariz. App. 357, 543 P.2d 478 (1975)</w:t>
      </w:r>
      <w:bookmarkEnd w:id="6"/>
      <w:bookmarkEnd w:id="7"/>
    </w:p>
    <w:p w14:paraId="453C019A"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A1645EA" w14:textId="77777777" w:rsidR="00E257D7" w:rsidRPr="00802649" w:rsidRDefault="00E257D7" w:rsidP="003F1E1E">
      <w:pPr>
        <w:rPr>
          <w:rFonts w:asciiTheme="majorHAnsi" w:hAnsiTheme="majorHAnsi" w:cstheme="majorHAnsi"/>
          <w:b/>
          <w:sz w:val="24"/>
          <w:szCs w:val="24"/>
        </w:rPr>
      </w:pPr>
    </w:p>
    <w:p w14:paraId="3384FB19"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0FA1C6CD"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sellers entered into a contract for the sale of their home calling for an initial deposit and down payment from the buyers, with the remainder to be paid as a lump sum within the next two years.  The court contended that the “language of the contract contemplated the retention by the sellers of a security interest in the property.”</w:t>
      </w:r>
    </w:p>
    <w:p w14:paraId="4C545C58"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buyers told the listing broker the balance would have to be unsecured, as they would have to mortgage the home to come up with the down payment.</w:t>
      </w:r>
    </w:p>
    <w:p w14:paraId="5B678CCF"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did not disclose this information to the sellers, instead advising them that a deposit was in place and the buyers had sufficient cash to make the down payment.</w:t>
      </w:r>
    </w:p>
    <w:p w14:paraId="2E91D02B"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The broker had the buyers fill out two different offers for different amounts, both lower than the asking price.  He presented the lower offer to the sellers without advising them of the existence of the higher offer.</w:t>
      </w:r>
    </w:p>
    <w:p w14:paraId="2AEBDBD6" w14:textId="77777777" w:rsidR="00E257D7" w:rsidRPr="00802649" w:rsidRDefault="00E257D7" w:rsidP="003120B8">
      <w:pPr>
        <w:pStyle w:val="ListParagraph"/>
        <w:numPr>
          <w:ilvl w:val="0"/>
          <w:numId w:val="6"/>
        </w:numPr>
        <w:rPr>
          <w:rFonts w:asciiTheme="majorHAnsi" w:hAnsiTheme="majorHAnsi" w:cstheme="majorHAnsi"/>
          <w:sz w:val="24"/>
          <w:szCs w:val="24"/>
        </w:rPr>
      </w:pPr>
      <w:r w:rsidRPr="00802649">
        <w:rPr>
          <w:rFonts w:asciiTheme="majorHAnsi" w:hAnsiTheme="majorHAnsi" w:cstheme="majorHAnsi"/>
          <w:sz w:val="24"/>
          <w:szCs w:val="24"/>
        </w:rPr>
        <w:t>At some point, the sellers refused to proceed with the sale.  The broker proceeded to file suit against the sellers to force the payment of claimed commission.</w:t>
      </w:r>
    </w:p>
    <w:p w14:paraId="355D6EE5" w14:textId="739C0850"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5C740BF9"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lastRenderedPageBreak/>
        <w:t>An appellate court denied the broker’s claim for any commission.</w:t>
      </w:r>
    </w:p>
    <w:p w14:paraId="6AFC45EB"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it is the broker’s duty to deal with his principal in good faith and disclose any information he has concerning the buyer’s ability to complete the purchase</w:t>
      </w:r>
    </w:p>
    <w:p w14:paraId="6B1328E0"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To the above-stated issue, the court found that the broker had seriously breached his fiduciary duty by failing to disclose that, although the contract provided for the sellers to retain a security interest in the property, the buyers had represented they would be unable to complete the purchase if the sellers retained that security interest.</w:t>
      </w:r>
    </w:p>
    <w:p w14:paraId="591417C7" w14:textId="77777777" w:rsidR="00E257D7" w:rsidRPr="00F83553" w:rsidRDefault="00E257D7" w:rsidP="003120B8">
      <w:pPr>
        <w:pStyle w:val="ListParagraph"/>
        <w:numPr>
          <w:ilvl w:val="0"/>
          <w:numId w:val="24"/>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also stated that the broker additionally breached his fiduciary duty to his client by presenting the lower offer and failing to disclose that the buyers were willing to pay a higher price.</w:t>
      </w:r>
    </w:p>
    <w:p w14:paraId="43F7CAE4" w14:textId="77777777" w:rsidR="001D1AF5" w:rsidRPr="001D1AF5" w:rsidRDefault="001D1AF5" w:rsidP="00696E22">
      <w:pPr>
        <w:ind w:left="-90" w:firstLine="9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42F60FA" w14:textId="77777777" w:rsidR="001D1AF5" w:rsidRPr="001D1AF5" w:rsidRDefault="001D1AF5" w:rsidP="00696E22">
      <w:pPr>
        <w:ind w:left="-90" w:firstLine="9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8A8099E"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185F872"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B99059A"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878DD21" w14:textId="77777777" w:rsidR="001D1AF5" w:rsidRPr="001D1AF5" w:rsidRDefault="001D1AF5" w:rsidP="0026778E">
      <w:pPr>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2E1179D" w14:textId="77777777" w:rsidR="00E257D7" w:rsidRPr="00802649" w:rsidRDefault="00E257D7" w:rsidP="003F1E1E">
      <w:pPr>
        <w:rPr>
          <w:rFonts w:asciiTheme="majorHAnsi" w:hAnsiTheme="majorHAnsi" w:cstheme="majorHAnsi"/>
          <w:sz w:val="24"/>
          <w:szCs w:val="24"/>
        </w:rPr>
      </w:pPr>
    </w:p>
    <w:p w14:paraId="4053D892" w14:textId="77777777" w:rsidR="00E257D7" w:rsidRPr="00802649" w:rsidRDefault="00E257D7" w:rsidP="003F1E1E">
      <w:pPr>
        <w:rPr>
          <w:rFonts w:asciiTheme="majorHAnsi" w:hAnsiTheme="majorHAnsi" w:cstheme="majorHAnsi"/>
          <w:sz w:val="24"/>
          <w:szCs w:val="24"/>
        </w:rPr>
      </w:pPr>
    </w:p>
    <w:p w14:paraId="29D1C73D" w14:textId="77777777" w:rsidR="002048ED" w:rsidRDefault="002048ED">
      <w:pPr>
        <w:spacing w:after="0" w:line="240" w:lineRule="auto"/>
        <w:rPr>
          <w:rFonts w:asciiTheme="majorHAnsi" w:eastAsia="Times New Roman" w:hAnsiTheme="majorHAnsi" w:cstheme="majorHAnsi"/>
          <w:b/>
          <w:bCs/>
          <w:i/>
          <w:color w:val="000000" w:themeColor="text1"/>
          <w:sz w:val="28"/>
          <w:szCs w:val="28"/>
        </w:rPr>
      </w:pPr>
      <w:bookmarkStart w:id="8" w:name="_Toc190850889"/>
      <w:bookmarkStart w:id="9" w:name="_Toc65239059"/>
      <w:r>
        <w:rPr>
          <w:rFonts w:asciiTheme="majorHAnsi" w:hAnsiTheme="majorHAnsi" w:cstheme="majorHAnsi"/>
          <w:i/>
          <w:color w:val="000000" w:themeColor="text1"/>
          <w:sz w:val="28"/>
          <w:szCs w:val="28"/>
        </w:rPr>
        <w:br w:type="page"/>
      </w:r>
    </w:p>
    <w:p w14:paraId="30C59B9E" w14:textId="447724F6" w:rsidR="00E257D7" w:rsidRPr="00F83553" w:rsidRDefault="00E257D7" w:rsidP="00D41486">
      <w:pPr>
        <w:pStyle w:val="Heading2"/>
        <w:rPr>
          <w:rFonts w:asciiTheme="majorHAnsi" w:hAnsiTheme="majorHAnsi" w:cstheme="majorHAnsi"/>
          <w:color w:val="000000" w:themeColor="text1"/>
          <w:sz w:val="28"/>
          <w:szCs w:val="28"/>
        </w:rPr>
      </w:pPr>
      <w:r w:rsidRPr="00F83553">
        <w:rPr>
          <w:rFonts w:asciiTheme="majorHAnsi" w:hAnsiTheme="majorHAnsi" w:cstheme="majorHAnsi"/>
          <w:i/>
          <w:color w:val="000000" w:themeColor="text1"/>
          <w:sz w:val="28"/>
          <w:szCs w:val="28"/>
        </w:rPr>
        <w:lastRenderedPageBreak/>
        <w:t>Kimmel v. Clark</w:t>
      </w:r>
      <w:r w:rsidRPr="00F83553">
        <w:rPr>
          <w:rFonts w:asciiTheme="majorHAnsi" w:hAnsiTheme="majorHAnsi" w:cstheme="majorHAnsi"/>
          <w:color w:val="000000" w:themeColor="text1"/>
          <w:sz w:val="28"/>
          <w:szCs w:val="28"/>
        </w:rPr>
        <w:t>, 21 Ariz. App. 455, 520 P.2d 851 (1974)</w:t>
      </w:r>
      <w:bookmarkEnd w:id="8"/>
      <w:bookmarkEnd w:id="9"/>
    </w:p>
    <w:p w14:paraId="27EFB891"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3288670C" w14:textId="77777777" w:rsidR="00E257D7" w:rsidRPr="00802649" w:rsidRDefault="00E257D7" w:rsidP="003F1E1E">
      <w:pPr>
        <w:rPr>
          <w:rFonts w:asciiTheme="majorHAnsi" w:hAnsiTheme="majorHAnsi" w:cstheme="majorHAnsi"/>
          <w:b/>
          <w:sz w:val="24"/>
          <w:szCs w:val="24"/>
        </w:rPr>
      </w:pPr>
    </w:p>
    <w:p w14:paraId="35E5FF11"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5377027F"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seller entered into a listing agreement with a broker to sell her home.</w:t>
      </w:r>
    </w:p>
    <w:p w14:paraId="17A79B61"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listing broker produced a buyer with whom a satisfactory purchase agreement could not be reached.</w:t>
      </w:r>
    </w:p>
    <w:p w14:paraId="14009888"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then produced another buyer who agreed to purchase the property for the listed price and produced a $1,000 check as a deposit.</w:t>
      </w:r>
    </w:p>
    <w:p w14:paraId="75E84709"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It turned out that the buyers were ‘straw men’ and were actually the son and daughter-in-law of the broker, a fact she did not disclose to the seller.</w:t>
      </w:r>
    </w:p>
    <w:p w14:paraId="6AFA15DC" w14:textId="77777777" w:rsidR="00E257D7" w:rsidRPr="00802649" w:rsidRDefault="00E257D7" w:rsidP="003120B8">
      <w:pPr>
        <w:pStyle w:val="ListParagraph"/>
        <w:numPr>
          <w:ilvl w:val="0"/>
          <w:numId w:val="7"/>
        </w:numPr>
        <w:rPr>
          <w:rFonts w:asciiTheme="majorHAnsi" w:hAnsiTheme="majorHAnsi" w:cstheme="majorHAnsi"/>
          <w:sz w:val="24"/>
          <w:szCs w:val="24"/>
        </w:rPr>
      </w:pPr>
      <w:r w:rsidRPr="00802649">
        <w:rPr>
          <w:rFonts w:asciiTheme="majorHAnsi" w:hAnsiTheme="majorHAnsi" w:cstheme="majorHAnsi"/>
          <w:sz w:val="24"/>
          <w:szCs w:val="24"/>
        </w:rPr>
        <w:t>The broker sued the seller for claimed commission, arguing she had produced a ready, willing and able buyer under the terms of the listing agreement.</w:t>
      </w:r>
    </w:p>
    <w:p w14:paraId="172580DA" w14:textId="02A440F4"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14CCDC47"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trial court found in favor of the seller and that decision was upheld on appeal.</w:t>
      </w:r>
    </w:p>
    <w:p w14:paraId="122B424C"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held that “a broker employed to sell property may not, without the principal’s full knowledge and consent, become the purchaser.”</w:t>
      </w:r>
    </w:p>
    <w:p w14:paraId="209B216C" w14:textId="77777777" w:rsidR="00E257D7" w:rsidRPr="00F83553" w:rsidRDefault="00E257D7" w:rsidP="003120B8">
      <w:pPr>
        <w:pStyle w:val="ListParagraph"/>
        <w:numPr>
          <w:ilvl w:val="0"/>
          <w:numId w:val="25"/>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found a fiduciary relationship existed between the broker and the seller and had clearly been breached by the broker for failing to disclose her relationship with the buyers.</w:t>
      </w:r>
    </w:p>
    <w:p w14:paraId="725C8F34"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3EEB16E"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719BD53"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180F65E"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1B782621"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B5B7962"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F8A4E48" w14:textId="77777777" w:rsidR="002048ED" w:rsidRDefault="002048ED" w:rsidP="00D41486">
      <w:pPr>
        <w:pStyle w:val="Heading2"/>
        <w:rPr>
          <w:rFonts w:asciiTheme="majorHAnsi" w:hAnsiTheme="majorHAnsi" w:cstheme="majorHAnsi"/>
          <w:i/>
          <w:color w:val="000000" w:themeColor="text1"/>
          <w:sz w:val="28"/>
          <w:szCs w:val="28"/>
          <w:lang w:val="it-IT"/>
        </w:rPr>
      </w:pPr>
      <w:bookmarkStart w:id="10" w:name="_Toc190850890"/>
      <w:bookmarkStart w:id="11" w:name="_Toc65239060"/>
    </w:p>
    <w:p w14:paraId="35C65D5E" w14:textId="6FD528C7" w:rsidR="00E257D7" w:rsidRPr="00F83553" w:rsidRDefault="00E257D7" w:rsidP="00D41486">
      <w:pPr>
        <w:pStyle w:val="Heading2"/>
        <w:rPr>
          <w:rFonts w:asciiTheme="majorHAnsi" w:hAnsiTheme="majorHAnsi" w:cstheme="majorHAnsi"/>
          <w:color w:val="000000" w:themeColor="text1"/>
          <w:sz w:val="28"/>
          <w:szCs w:val="28"/>
          <w:lang w:val="it-IT"/>
        </w:rPr>
      </w:pPr>
      <w:r w:rsidRPr="00F83553">
        <w:rPr>
          <w:rFonts w:asciiTheme="majorHAnsi" w:hAnsiTheme="majorHAnsi" w:cstheme="majorHAnsi"/>
          <w:i/>
          <w:color w:val="000000" w:themeColor="text1"/>
          <w:sz w:val="28"/>
          <w:szCs w:val="28"/>
          <w:lang w:val="it-IT"/>
        </w:rPr>
        <w:t>Lombardo v. Albu</w:t>
      </w:r>
      <w:r w:rsidRPr="00F83553">
        <w:rPr>
          <w:rFonts w:asciiTheme="majorHAnsi" w:hAnsiTheme="majorHAnsi" w:cstheme="majorHAnsi"/>
          <w:color w:val="000000" w:themeColor="text1"/>
          <w:sz w:val="28"/>
          <w:szCs w:val="28"/>
          <w:lang w:val="it-IT"/>
        </w:rPr>
        <w:t>, 199 Ariz. 97, 14 P.3d 288 (2000)</w:t>
      </w:r>
      <w:bookmarkEnd w:id="10"/>
      <w:bookmarkEnd w:id="11"/>
    </w:p>
    <w:p w14:paraId="15F8C16B"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2263AD49"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lastRenderedPageBreak/>
        <w:t>Case Facts:</w:t>
      </w:r>
    </w:p>
    <w:p w14:paraId="64FB8A68"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in default on their loan, entered into a loan agreement with their lender to list and sell their home to pay the loan.  They proceeded to list the property.</w:t>
      </w:r>
    </w:p>
    <w:p w14:paraId="20F9B42A"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Another broker, representing the buyer, presented an offer to the listing broker, which was accepted.</w:t>
      </w:r>
    </w:p>
    <w:p w14:paraId="268176D1"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Prior to presenting the offer, the buyer’s broker was told by the buyer that her husband had serious financial problems and had filed for bankruptcy.  The wife hoped to avoid discovery of this fact by making an offer in her name only.</w:t>
      </w:r>
    </w:p>
    <w:p w14:paraId="4FB7F54F"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buyer’s broker did not disclose to the sellers that the wife was not an “able” buyer or might be unable to perform.</w:t>
      </w:r>
    </w:p>
    <w:p w14:paraId="5F4AB92E"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Had the sellers been aware of the situation, they would have sought other conditions in the contract, such as the right to keep the property on the market.</w:t>
      </w:r>
    </w:p>
    <w:p w14:paraId="50AEFF9D"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After several delays in closing, the buyer was unable to close on the property.</w:t>
      </w:r>
    </w:p>
    <w:p w14:paraId="64910512"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ultimately lost their equity in the home when it was sold at a trustee’s sale.</w:t>
      </w:r>
    </w:p>
    <w:p w14:paraId="2A7C77FB" w14:textId="77777777" w:rsidR="00E257D7" w:rsidRPr="00802649" w:rsidRDefault="00E257D7" w:rsidP="003120B8">
      <w:pPr>
        <w:pStyle w:val="ListParagraph"/>
        <w:numPr>
          <w:ilvl w:val="0"/>
          <w:numId w:val="8"/>
        </w:numPr>
        <w:rPr>
          <w:rFonts w:asciiTheme="majorHAnsi" w:hAnsiTheme="majorHAnsi" w:cstheme="majorHAnsi"/>
          <w:sz w:val="24"/>
          <w:szCs w:val="24"/>
        </w:rPr>
      </w:pPr>
      <w:r w:rsidRPr="00802649">
        <w:rPr>
          <w:rFonts w:asciiTheme="majorHAnsi" w:hAnsiTheme="majorHAnsi" w:cstheme="majorHAnsi"/>
          <w:sz w:val="24"/>
          <w:szCs w:val="24"/>
        </w:rPr>
        <w:t>The sellers filed suit against the other parties involved, claiming negligent misrepresentation on the part of the buyer’s broker.</w:t>
      </w:r>
    </w:p>
    <w:p w14:paraId="04139601" w14:textId="71B33B02"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E6E5237"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After the trial and appellate courts held that the buyer’s financial information was confidential and the buyer’s broker had no duty to disclose it to the seller, the case was eventually heard by the Arizona Supreme Court, who reversed the decision.</w:t>
      </w:r>
    </w:p>
    <w:p w14:paraId="69550E79"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39276B">
        <w:rPr>
          <w:rFonts w:asciiTheme="majorHAnsi" w:hAnsiTheme="majorHAnsi" w:cstheme="majorHAnsi"/>
          <w:b/>
          <w:i/>
          <w:vanish/>
          <w:color w:val="FF0000"/>
          <w:sz w:val="24"/>
          <w:szCs w:val="24"/>
        </w:rPr>
        <w:t xml:space="preserve">The court stated </w:t>
      </w:r>
      <w:r w:rsidRPr="00F83553">
        <w:rPr>
          <w:rFonts w:asciiTheme="majorHAnsi" w:hAnsiTheme="majorHAnsi" w:cstheme="majorHAnsi"/>
          <w:b/>
          <w:i/>
          <w:vanish/>
          <w:color w:val="FF0000"/>
          <w:sz w:val="24"/>
          <w:szCs w:val="24"/>
        </w:rPr>
        <w:t>that a covenant of good faith and fair dealing exists as a legal duty between buyers and sellers, which requires them to disclose facts material to the transaction.</w:t>
      </w:r>
    </w:p>
    <w:p w14:paraId="7F1939F4" w14:textId="77777777" w:rsidR="00E257D7" w:rsidRPr="00F83553" w:rsidRDefault="00E257D7" w:rsidP="003120B8">
      <w:pPr>
        <w:pStyle w:val="ListParagraph"/>
        <w:numPr>
          <w:ilvl w:val="0"/>
          <w:numId w:val="26"/>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The court cited the Restatement (Second) of Agency §348(e), which states:</w:t>
      </w:r>
    </w:p>
    <w:p w14:paraId="05D14B77" w14:textId="77777777" w:rsidR="00E257D7" w:rsidRPr="00802649" w:rsidRDefault="00E257D7" w:rsidP="003F1E1E">
      <w:pPr>
        <w:pStyle w:val="ListParagraph"/>
        <w:ind w:left="1440"/>
        <w:rPr>
          <w:rFonts w:asciiTheme="majorHAnsi" w:hAnsiTheme="majorHAnsi" w:cstheme="majorHAnsi"/>
          <w:color w:val="FF0000"/>
          <w:sz w:val="24"/>
          <w:szCs w:val="24"/>
        </w:rPr>
      </w:pPr>
    </w:p>
    <w:p w14:paraId="4948D797" w14:textId="77777777" w:rsidR="00E257D7" w:rsidRPr="00F83553" w:rsidRDefault="00E257D7" w:rsidP="00F83553">
      <w:pPr>
        <w:ind w:left="900"/>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Although the making of a contract by the agent does not constitute a representation by him that his principal is known by him to be solvent or honorable, if the agent knows that the principal does not intend to perform the contract because of hopeless insolvency or other reason, the making of a contract for him under such conditions subjects the agent to liability. [Citation omitted.]</w:t>
      </w:r>
    </w:p>
    <w:p w14:paraId="0A83A103" w14:textId="77777777" w:rsidR="00E257D7" w:rsidRPr="00802649" w:rsidRDefault="00E257D7" w:rsidP="003F1E1E">
      <w:pPr>
        <w:pStyle w:val="ListParagraph"/>
        <w:ind w:left="1440"/>
        <w:rPr>
          <w:rFonts w:asciiTheme="majorHAnsi" w:hAnsiTheme="majorHAnsi" w:cstheme="majorHAnsi"/>
          <w:sz w:val="24"/>
          <w:szCs w:val="24"/>
        </w:rPr>
      </w:pPr>
    </w:p>
    <w:p w14:paraId="76C4ABCE" w14:textId="77777777"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lastRenderedPageBreak/>
        <w:t>The court further stated that “the performance of an agent’s fiduciary duty to its principal is compatible with the agent’s duty to deal fairly with all parties to the transaction.”</w:t>
      </w:r>
    </w:p>
    <w:p w14:paraId="71FFF51E" w14:textId="77777777" w:rsidR="00E257D7" w:rsidRPr="00F83553" w:rsidRDefault="00E257D7" w:rsidP="003120B8">
      <w:pPr>
        <w:pStyle w:val="ListParagraph"/>
        <w:numPr>
          <w:ilvl w:val="0"/>
          <w:numId w:val="27"/>
        </w:numPr>
        <w:rPr>
          <w:rFonts w:asciiTheme="majorHAnsi" w:hAnsiTheme="majorHAnsi" w:cstheme="majorHAnsi"/>
          <w:b/>
          <w:i/>
          <w:vanish/>
          <w:color w:val="FF0000"/>
          <w:sz w:val="24"/>
          <w:szCs w:val="24"/>
        </w:rPr>
      </w:pPr>
      <w:r w:rsidRPr="00F83553">
        <w:rPr>
          <w:rFonts w:asciiTheme="majorHAnsi" w:hAnsiTheme="majorHAnsi" w:cstheme="majorHAnsi"/>
          <w:b/>
          <w:i/>
          <w:vanish/>
          <w:color w:val="FF0000"/>
          <w:sz w:val="24"/>
          <w:szCs w:val="24"/>
        </w:rPr>
        <w:t xml:space="preserve">To the argument of confidentiality, the court stated that even if the information was confidential, the Restatement (Second) of Agency §395 allows an agent to disclose confidential information if doing so is necessary to protect themselves or a third party. </w:t>
      </w:r>
    </w:p>
    <w:p w14:paraId="03EBB5F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4AF758F"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A3D995B"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83130EC"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2E80AF"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2D0BA732"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F687C37" w14:textId="77777777" w:rsidR="00E257D7" w:rsidRPr="00A27310" w:rsidRDefault="00E257D7" w:rsidP="00D41486">
      <w:pPr>
        <w:pStyle w:val="Heading2"/>
        <w:rPr>
          <w:rFonts w:asciiTheme="majorHAnsi" w:hAnsiTheme="majorHAnsi" w:cstheme="majorHAnsi"/>
          <w:color w:val="auto"/>
          <w:sz w:val="28"/>
          <w:szCs w:val="28"/>
        </w:rPr>
      </w:pPr>
      <w:bookmarkStart w:id="12" w:name="_Toc190850891"/>
      <w:bookmarkStart w:id="13" w:name="_Toc65239061"/>
      <w:proofErr w:type="spellStart"/>
      <w:r w:rsidRPr="00A27310">
        <w:rPr>
          <w:rFonts w:asciiTheme="majorHAnsi" w:hAnsiTheme="majorHAnsi" w:cstheme="majorHAnsi"/>
          <w:i/>
          <w:color w:val="auto"/>
          <w:sz w:val="28"/>
          <w:szCs w:val="28"/>
        </w:rPr>
        <w:t>Aranki</w:t>
      </w:r>
      <w:proofErr w:type="spellEnd"/>
      <w:r w:rsidRPr="00A27310">
        <w:rPr>
          <w:rFonts w:asciiTheme="majorHAnsi" w:hAnsiTheme="majorHAnsi" w:cstheme="majorHAnsi"/>
          <w:i/>
          <w:color w:val="auto"/>
          <w:sz w:val="28"/>
          <w:szCs w:val="28"/>
        </w:rPr>
        <w:t xml:space="preserve"> v. RKP Investments, Inc.</w:t>
      </w:r>
      <w:r w:rsidRPr="00A27310">
        <w:rPr>
          <w:rFonts w:asciiTheme="majorHAnsi" w:hAnsiTheme="majorHAnsi" w:cstheme="majorHAnsi"/>
          <w:color w:val="auto"/>
          <w:sz w:val="28"/>
          <w:szCs w:val="28"/>
        </w:rPr>
        <w:t>, 194 Ariz. 206, 979 P.2d 534 (App. 1999)</w:t>
      </w:r>
      <w:bookmarkEnd w:id="12"/>
      <w:bookmarkEnd w:id="13"/>
    </w:p>
    <w:p w14:paraId="3671FB5C"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4DC4C6CC" w14:textId="77777777" w:rsidR="00E257D7" w:rsidRPr="00802649" w:rsidRDefault="00E257D7" w:rsidP="003F1E1E">
      <w:pPr>
        <w:rPr>
          <w:rFonts w:asciiTheme="majorHAnsi" w:hAnsiTheme="majorHAnsi" w:cstheme="majorHAnsi"/>
          <w:b/>
          <w:sz w:val="24"/>
          <w:szCs w:val="24"/>
        </w:rPr>
      </w:pPr>
    </w:p>
    <w:p w14:paraId="110B59CD" w14:textId="77777777"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7B80D134"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sellers listed their home with a broker.  They did not disclose any material defects in the property to the listing broker.</w:t>
      </w:r>
    </w:p>
    <w:p w14:paraId="17E6BFE3"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The buyers, represented by their broker, purchased the property.</w:t>
      </w:r>
    </w:p>
    <w:p w14:paraId="0A5C3505" w14:textId="77777777" w:rsidR="00E257D7" w:rsidRPr="00802649" w:rsidRDefault="00E257D7" w:rsidP="003120B8">
      <w:pPr>
        <w:pStyle w:val="ListParagraph"/>
        <w:numPr>
          <w:ilvl w:val="0"/>
          <w:numId w:val="9"/>
        </w:numPr>
        <w:rPr>
          <w:rFonts w:asciiTheme="majorHAnsi" w:hAnsiTheme="majorHAnsi" w:cstheme="majorHAnsi"/>
          <w:sz w:val="24"/>
          <w:szCs w:val="24"/>
        </w:rPr>
      </w:pPr>
      <w:r w:rsidRPr="00802649">
        <w:rPr>
          <w:rFonts w:asciiTheme="majorHAnsi" w:hAnsiTheme="majorHAnsi" w:cstheme="majorHAnsi"/>
          <w:sz w:val="24"/>
          <w:szCs w:val="24"/>
        </w:rPr>
        <w:t>After closing, the buyers discovered defects in the property that were not disclosed to them prior to the sale.</w:t>
      </w:r>
    </w:p>
    <w:p w14:paraId="0E6AB438" w14:textId="77777777" w:rsidR="00A94476" w:rsidRPr="0010182B" w:rsidRDefault="00A94476" w:rsidP="003120B8">
      <w:pPr>
        <w:pStyle w:val="ListParagraph"/>
        <w:numPr>
          <w:ilvl w:val="0"/>
          <w:numId w:val="9"/>
        </w:numPr>
        <w:rPr>
          <w:rFonts w:ascii="Arial" w:hAnsi="Arial" w:cs="Arial"/>
          <w:sz w:val="24"/>
          <w:szCs w:val="24"/>
        </w:rPr>
      </w:pPr>
      <w:r w:rsidRPr="0010182B">
        <w:rPr>
          <w:rFonts w:ascii="Arial" w:hAnsi="Arial" w:cs="Arial"/>
          <w:sz w:val="24"/>
          <w:szCs w:val="24"/>
        </w:rPr>
        <w:t xml:space="preserve">The buyers proceeded to file suit against the sellers, </w:t>
      </w:r>
      <w:r>
        <w:rPr>
          <w:rFonts w:ascii="Arial" w:hAnsi="Arial" w:cs="Arial"/>
          <w:sz w:val="24"/>
          <w:szCs w:val="24"/>
        </w:rPr>
        <w:t xml:space="preserve">and also against </w:t>
      </w:r>
      <w:r w:rsidRPr="0010182B">
        <w:rPr>
          <w:rFonts w:ascii="Arial" w:hAnsi="Arial" w:cs="Arial"/>
          <w:sz w:val="24"/>
          <w:szCs w:val="24"/>
        </w:rPr>
        <w:t>the listing broker</w:t>
      </w:r>
      <w:r>
        <w:rPr>
          <w:rFonts w:ascii="Arial" w:hAnsi="Arial" w:cs="Arial"/>
          <w:sz w:val="24"/>
          <w:szCs w:val="24"/>
        </w:rPr>
        <w:t xml:space="preserve"> (by way of warranty and fraud claims), and the buyers’ broker (by way of negligent misrepresentation claims)</w:t>
      </w:r>
      <w:r w:rsidRPr="0010182B">
        <w:rPr>
          <w:rFonts w:ascii="Arial" w:hAnsi="Arial" w:cs="Arial"/>
          <w:sz w:val="24"/>
          <w:szCs w:val="24"/>
        </w:rPr>
        <w:t>.</w:t>
      </w:r>
    </w:p>
    <w:p w14:paraId="4730F169" w14:textId="77777777" w:rsidR="002048ED" w:rsidRDefault="002048ED" w:rsidP="003F1E1E">
      <w:pPr>
        <w:rPr>
          <w:rFonts w:asciiTheme="majorHAnsi" w:hAnsiTheme="majorHAnsi" w:cstheme="majorHAnsi"/>
          <w:b/>
          <w:sz w:val="24"/>
          <w:szCs w:val="24"/>
        </w:rPr>
      </w:pPr>
    </w:p>
    <w:p w14:paraId="2E90930C" w14:textId="57EA00E3" w:rsidR="00E257D7" w:rsidRPr="00802649" w:rsidRDefault="00E257D7" w:rsidP="003F1E1E">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B6610DE"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After a trial court found in favor of the defendants, the plaintiffs appealed the decision.</w:t>
      </w:r>
    </w:p>
    <w:p w14:paraId="15A208DD"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lastRenderedPageBreak/>
        <w:t>The appellate court reversed the judgment in favor of the plaintiffs (appellants) regarding the buyers’ brokers and the sellers.</w:t>
      </w:r>
    </w:p>
    <w:p w14:paraId="043AD5A3"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As to the listing broker, the appellate court affirmed the trial court’s judgment that the facts did not support the claim of negligent misrepresentation.</w:t>
      </w:r>
    </w:p>
    <w:p w14:paraId="60228F67" w14:textId="77777777" w:rsidR="00E257D7" w:rsidRPr="00802649" w:rsidRDefault="00E257D7" w:rsidP="003F1E1E">
      <w:pPr>
        <w:pStyle w:val="ListParagraph"/>
        <w:rPr>
          <w:rFonts w:asciiTheme="majorHAnsi" w:hAnsiTheme="majorHAnsi" w:cstheme="majorHAnsi"/>
          <w:color w:val="FF0000"/>
          <w:sz w:val="24"/>
          <w:szCs w:val="24"/>
        </w:rPr>
      </w:pPr>
    </w:p>
    <w:p w14:paraId="28E43D4F" w14:textId="77777777" w:rsidR="00E257D7" w:rsidRPr="00A27310" w:rsidRDefault="00E257D7" w:rsidP="003F1E1E">
      <w:pPr>
        <w:pStyle w:val="ListParagraph"/>
        <w:rPr>
          <w:rFonts w:asciiTheme="majorHAnsi" w:hAnsiTheme="majorHAnsi" w:cstheme="majorHAnsi"/>
          <w:b/>
          <w:vanish/>
          <w:color w:val="FF0000"/>
          <w:sz w:val="24"/>
          <w:szCs w:val="24"/>
        </w:rPr>
      </w:pPr>
      <w:r w:rsidRPr="00A27310">
        <w:rPr>
          <w:rFonts w:asciiTheme="majorHAnsi" w:hAnsiTheme="majorHAnsi" w:cstheme="majorHAnsi"/>
          <w:b/>
          <w:vanish/>
          <w:color w:val="FF0000"/>
          <w:sz w:val="24"/>
          <w:szCs w:val="24"/>
        </w:rPr>
        <w:t>Regarding the Listing Broker:</w:t>
      </w:r>
    </w:p>
    <w:p w14:paraId="5710BFD6" w14:textId="77777777" w:rsidR="00E257D7" w:rsidRPr="00802649" w:rsidRDefault="00E257D7" w:rsidP="003F1E1E">
      <w:pPr>
        <w:pStyle w:val="ListParagraph"/>
        <w:rPr>
          <w:rFonts w:asciiTheme="majorHAnsi" w:hAnsiTheme="majorHAnsi" w:cstheme="majorHAnsi"/>
          <w:color w:val="FF0000"/>
          <w:sz w:val="24"/>
          <w:szCs w:val="24"/>
        </w:rPr>
      </w:pPr>
    </w:p>
    <w:p w14:paraId="389C612A"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stated that while the listing broker owed a fiduciary duty to his clients, the sellers, his only duty to the buyers was to deal fairly with them.</w:t>
      </w:r>
    </w:p>
    <w:p w14:paraId="62485BBA"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Supporting the duty of fair dealing, the court found the listing broker had no knowledge of the property defects and no duty to perform any investigations to discover defects not readily apparent.  </w:t>
      </w:r>
    </w:p>
    <w:p w14:paraId="0CF3D5C0" w14:textId="77777777" w:rsidR="00E257D7" w:rsidRPr="00A27310" w:rsidRDefault="00E257D7" w:rsidP="003120B8">
      <w:pPr>
        <w:pStyle w:val="ListParagraph"/>
        <w:numPr>
          <w:ilvl w:val="0"/>
          <w:numId w:val="28"/>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further stated the listing broker was not liable to the buyers for passing along information obtained from the seller without proof the listing broker knew or should have known the information might be false.</w:t>
      </w:r>
    </w:p>
    <w:p w14:paraId="57F17B19"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60C41ED"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7F4A04C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55A529EB"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3C45F310"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628A8CB8" w14:textId="77777777" w:rsidR="001D1AF5" w:rsidRPr="001D1AF5" w:rsidRDefault="001D1AF5" w:rsidP="001D1AF5">
      <w:pPr>
        <w:ind w:left="360"/>
        <w:rPr>
          <w:rFonts w:asciiTheme="majorHAnsi" w:hAnsiTheme="majorHAnsi" w:cstheme="majorHAnsi"/>
          <w:bCs/>
          <w:sz w:val="28"/>
          <w:szCs w:val="28"/>
        </w:rPr>
      </w:pPr>
      <w:r w:rsidRPr="001D1AF5">
        <w:rPr>
          <w:rFonts w:asciiTheme="majorHAnsi" w:hAnsiTheme="majorHAnsi" w:cstheme="majorHAnsi"/>
          <w:bCs/>
          <w:sz w:val="28"/>
          <w:szCs w:val="28"/>
        </w:rPr>
        <w:t>________________________________________________________</w:t>
      </w:r>
    </w:p>
    <w:p w14:paraId="015BDECD" w14:textId="2A56A46B" w:rsidR="00DC009E" w:rsidRDefault="00DC009E">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8EE651A" w14:textId="77777777" w:rsidR="00E257D7" w:rsidRPr="00802649" w:rsidRDefault="00E257D7" w:rsidP="004723F7">
      <w:pPr>
        <w:rPr>
          <w:rFonts w:asciiTheme="majorHAnsi" w:hAnsiTheme="majorHAnsi" w:cstheme="majorHAnsi"/>
          <w:b/>
          <w:sz w:val="24"/>
          <w:szCs w:val="24"/>
        </w:rPr>
      </w:pPr>
    </w:p>
    <w:p w14:paraId="3C7F0CDB" w14:textId="2BEB8F04" w:rsidR="00E257D7" w:rsidRPr="002048ED" w:rsidRDefault="0029540A" w:rsidP="004723F7">
      <w:pPr>
        <w:rPr>
          <w:rFonts w:ascii="Arial" w:hAnsi="Arial" w:cs="Arial"/>
          <w:b/>
          <w:vanish/>
          <w:color w:val="4F81BD" w:themeColor="accent1"/>
          <w:sz w:val="24"/>
          <w:szCs w:val="24"/>
        </w:rPr>
      </w:pPr>
      <w:r w:rsidRPr="002048ED">
        <w:rPr>
          <w:rFonts w:ascii="Arial" w:hAnsi="Arial" w:cs="Arial"/>
          <w:b/>
          <w:vanish/>
          <w:color w:val="4F81BD" w:themeColor="accent1"/>
          <w:sz w:val="24"/>
          <w:szCs w:val="24"/>
        </w:rPr>
        <w:t>Matching case with action exercise</w:t>
      </w:r>
      <w:r w:rsidR="00264239" w:rsidRPr="002048ED">
        <w:rPr>
          <w:rFonts w:ascii="Arial" w:hAnsi="Arial" w:cs="Arial"/>
          <w:b/>
          <w:vanish/>
          <w:color w:val="4F81BD" w:themeColor="accent1"/>
          <w:sz w:val="24"/>
          <w:szCs w:val="24"/>
        </w:rPr>
        <w:t xml:space="preserve">  (use chat and put exercise in handout)</w:t>
      </w:r>
    </w:p>
    <w:p w14:paraId="7FFB464C" w14:textId="47802AD5" w:rsidR="008F0E65" w:rsidRPr="002048ED" w:rsidRDefault="008F0E65" w:rsidP="008F0E65">
      <w:pPr>
        <w:rPr>
          <w:rFonts w:ascii="Arial" w:hAnsi="Arial" w:cs="Arial"/>
          <w:b/>
          <w:bCs/>
          <w:sz w:val="24"/>
          <w:szCs w:val="24"/>
        </w:rPr>
      </w:pPr>
      <w:r w:rsidRPr="002048ED">
        <w:rPr>
          <w:rFonts w:ascii="Arial" w:hAnsi="Arial" w:cs="Arial"/>
          <w:b/>
          <w:bCs/>
          <w:sz w:val="24"/>
          <w:szCs w:val="24"/>
        </w:rPr>
        <w:t xml:space="preserve">Write the letter next to the case </w:t>
      </w:r>
      <w:r w:rsidR="00696E22" w:rsidRPr="002048ED">
        <w:rPr>
          <w:rFonts w:ascii="Arial" w:hAnsi="Arial" w:cs="Arial"/>
          <w:b/>
          <w:bCs/>
          <w:sz w:val="24"/>
          <w:szCs w:val="24"/>
        </w:rPr>
        <w:t>name</w:t>
      </w:r>
      <w:r w:rsidRPr="002048ED">
        <w:rPr>
          <w:rFonts w:ascii="Arial" w:hAnsi="Arial" w:cs="Arial"/>
          <w:b/>
          <w:bCs/>
          <w:sz w:val="24"/>
          <w:szCs w:val="24"/>
        </w:rPr>
        <w:t xml:space="preserve"> that relates to </w:t>
      </w:r>
      <w:proofErr w:type="gramStart"/>
      <w:r w:rsidRPr="002048ED">
        <w:rPr>
          <w:rFonts w:ascii="Arial" w:hAnsi="Arial" w:cs="Arial"/>
          <w:b/>
          <w:bCs/>
          <w:sz w:val="24"/>
          <w:szCs w:val="24"/>
        </w:rPr>
        <w:t>the  DISCLOSURE</w:t>
      </w:r>
      <w:proofErr w:type="gramEnd"/>
      <w:r w:rsidRPr="002048ED">
        <w:rPr>
          <w:rFonts w:ascii="Arial" w:hAnsi="Arial" w:cs="Arial"/>
          <w:b/>
          <w:bCs/>
          <w:sz w:val="24"/>
          <w:szCs w:val="24"/>
        </w:rPr>
        <w:t xml:space="preserve"> action that resulted from the case:</w:t>
      </w:r>
    </w:p>
    <w:p w14:paraId="65C4DFBF" w14:textId="77777777" w:rsidR="008F0E65" w:rsidRDefault="008F0E65" w:rsidP="008F0E65">
      <w:r>
        <w:t>___ Jennings v Lee</w:t>
      </w:r>
    </w:p>
    <w:p w14:paraId="4CC89241" w14:textId="77777777" w:rsidR="008F0E65" w:rsidRDefault="008F0E65" w:rsidP="008F0E65">
      <w:r>
        <w:t xml:space="preserve">___ Morley v J. </w:t>
      </w:r>
      <w:proofErr w:type="spellStart"/>
      <w:r>
        <w:t>Pagel</w:t>
      </w:r>
      <w:proofErr w:type="spellEnd"/>
      <w:r>
        <w:t xml:space="preserve"> Realty &amp; Insurance</w:t>
      </w:r>
    </w:p>
    <w:p w14:paraId="459FA8B8" w14:textId="77777777" w:rsidR="008F0E65" w:rsidRDefault="008F0E65" w:rsidP="008F0E65">
      <w:r>
        <w:t xml:space="preserve">___ Mason v </w:t>
      </w:r>
      <w:proofErr w:type="spellStart"/>
      <w:r>
        <w:t>Bulleri</w:t>
      </w:r>
      <w:proofErr w:type="spellEnd"/>
    </w:p>
    <w:p w14:paraId="19188445" w14:textId="77777777" w:rsidR="008F0E65" w:rsidRDefault="008F0E65" w:rsidP="008F0E65">
      <w:r>
        <w:t>___ Kimmel v Clark</w:t>
      </w:r>
    </w:p>
    <w:p w14:paraId="5C971458" w14:textId="77777777" w:rsidR="008F0E65" w:rsidRDefault="008F0E65" w:rsidP="008F0E65">
      <w:r>
        <w:t xml:space="preserve">___ Lombardo v </w:t>
      </w:r>
      <w:proofErr w:type="spellStart"/>
      <w:r>
        <w:t>Albu</w:t>
      </w:r>
      <w:proofErr w:type="spellEnd"/>
    </w:p>
    <w:p w14:paraId="2AF46689" w14:textId="77777777" w:rsidR="008F0E65" w:rsidRDefault="008F0E65" w:rsidP="008F0E65">
      <w:r>
        <w:t xml:space="preserve">___ </w:t>
      </w:r>
      <w:proofErr w:type="spellStart"/>
      <w:r>
        <w:t>Aranki</w:t>
      </w:r>
      <w:proofErr w:type="spellEnd"/>
      <w:r>
        <w:t xml:space="preserve"> v RVP Investments</w:t>
      </w:r>
    </w:p>
    <w:p w14:paraId="7D0E6531" w14:textId="77777777" w:rsidR="008F0E65" w:rsidRDefault="008F0E65" w:rsidP="008F0E65"/>
    <w:p w14:paraId="2C4CF752" w14:textId="77777777" w:rsidR="008F0E65" w:rsidRDefault="008F0E65" w:rsidP="008F0E65">
      <w:r>
        <w:t>A.</w:t>
      </w:r>
      <w:r>
        <w:tab/>
        <w:t xml:space="preserve">Full disclosure of all known material facts </w:t>
      </w:r>
      <w:r w:rsidRPr="008F0E65">
        <w:rPr>
          <w:vanish/>
          <w:color w:val="FF0000"/>
        </w:rPr>
        <w:t>(Jennings)</w:t>
      </w:r>
    </w:p>
    <w:p w14:paraId="1FB8DBA2" w14:textId="7D08AF8E" w:rsidR="008F0E65" w:rsidRDefault="008F0E65" w:rsidP="008F0E65">
      <w:r>
        <w:t>B.</w:t>
      </w:r>
      <w:r>
        <w:tab/>
      </w:r>
      <w:r w:rsidR="00E92682">
        <w:t>Disclose b</w:t>
      </w:r>
      <w:r>
        <w:t xml:space="preserve">est terms which includes discussions regarding information the broker possess about </w:t>
      </w:r>
      <w:r w:rsidR="00E92682">
        <w:tab/>
      </w:r>
      <w:r>
        <w:t xml:space="preserve">the transaction </w:t>
      </w:r>
      <w:r w:rsidRPr="008F0E65">
        <w:rPr>
          <w:vanish/>
          <w:color w:val="FF0000"/>
        </w:rPr>
        <w:t>(Morley)</w:t>
      </w:r>
    </w:p>
    <w:p w14:paraId="11CE9D56" w14:textId="77777777" w:rsidR="008F0E65" w:rsidRDefault="008F0E65" w:rsidP="008F0E65">
      <w:r>
        <w:t>C.</w:t>
      </w:r>
      <w:r>
        <w:tab/>
        <w:t xml:space="preserve">Disclose any information that the buyer is or maybe unable to perform </w:t>
      </w:r>
      <w:r w:rsidRPr="008F0E65">
        <w:rPr>
          <w:vanish/>
          <w:color w:val="FF0000"/>
        </w:rPr>
        <w:t>(Mason)</w:t>
      </w:r>
    </w:p>
    <w:p w14:paraId="3E76AAA8" w14:textId="77777777" w:rsidR="008F0E65" w:rsidRDefault="008F0E65" w:rsidP="008F0E65">
      <w:r>
        <w:t>D.</w:t>
      </w:r>
      <w:r>
        <w:tab/>
        <w:t xml:space="preserve">Disclose relationships with buyer </w:t>
      </w:r>
      <w:r w:rsidRPr="008F0E65">
        <w:rPr>
          <w:vanish/>
          <w:color w:val="FF0000"/>
        </w:rPr>
        <w:t>(Kimmel)</w:t>
      </w:r>
    </w:p>
    <w:p w14:paraId="697DD4A2" w14:textId="5FED131B" w:rsidR="008F0E65" w:rsidRDefault="008F0E65" w:rsidP="008F0E65">
      <w:r>
        <w:t>E.</w:t>
      </w:r>
      <w:r>
        <w:tab/>
      </w:r>
      <w:r w:rsidR="00E92682">
        <w:t>A</w:t>
      </w:r>
      <w:r>
        <w:t xml:space="preserve">bility to perform is not confidential information </w:t>
      </w:r>
      <w:r w:rsidRPr="008F0E65">
        <w:rPr>
          <w:vanish/>
          <w:color w:val="FF0000"/>
        </w:rPr>
        <w:t>(Lombardo)</w:t>
      </w:r>
    </w:p>
    <w:p w14:paraId="1B533062" w14:textId="4F7D834A" w:rsidR="008F0E65" w:rsidRDefault="008F0E65" w:rsidP="008F0E65">
      <w:r>
        <w:t>F.</w:t>
      </w:r>
      <w:r>
        <w:tab/>
      </w:r>
      <w:r w:rsidR="00E92682">
        <w:t>L</w:t>
      </w:r>
      <w:r>
        <w:t xml:space="preserve">isting broker may pass along information obtained from seller </w:t>
      </w:r>
      <w:r w:rsidRPr="008F0E65">
        <w:rPr>
          <w:vanish/>
          <w:color w:val="FF0000"/>
        </w:rPr>
        <w:t>(</w:t>
      </w:r>
      <w:proofErr w:type="spellStart"/>
      <w:r w:rsidRPr="008F0E65">
        <w:rPr>
          <w:vanish/>
          <w:color w:val="FF0000"/>
        </w:rPr>
        <w:t>Aranki</w:t>
      </w:r>
      <w:proofErr w:type="spellEnd"/>
      <w:r w:rsidRPr="008F0E65">
        <w:rPr>
          <w:vanish/>
          <w:color w:val="FF0000"/>
        </w:rPr>
        <w:t>)</w:t>
      </w:r>
    </w:p>
    <w:p w14:paraId="06DA4E52" w14:textId="77777777" w:rsidR="008F0E65" w:rsidRPr="0029540A" w:rsidRDefault="008F0E65" w:rsidP="004723F7">
      <w:pPr>
        <w:rPr>
          <w:rFonts w:asciiTheme="majorHAnsi" w:hAnsiTheme="majorHAnsi" w:cstheme="majorHAnsi"/>
          <w:b/>
          <w:vanish/>
          <w:color w:val="4F81BD" w:themeColor="accent1"/>
          <w:sz w:val="24"/>
          <w:szCs w:val="24"/>
        </w:rPr>
      </w:pPr>
    </w:p>
    <w:p w14:paraId="7E72F690" w14:textId="77777777" w:rsidR="00E257D7" w:rsidRPr="00D71EE4" w:rsidRDefault="00E257D7" w:rsidP="00D41486">
      <w:pPr>
        <w:pStyle w:val="Heading2"/>
        <w:rPr>
          <w:rFonts w:asciiTheme="majorHAnsi" w:hAnsiTheme="majorHAnsi" w:cstheme="majorHAnsi"/>
          <w:color w:val="auto"/>
          <w:sz w:val="28"/>
          <w:szCs w:val="28"/>
        </w:rPr>
      </w:pPr>
      <w:bookmarkStart w:id="14" w:name="_Toc190850892"/>
      <w:bookmarkStart w:id="15" w:name="_Toc65239062"/>
      <w:r w:rsidRPr="00D71EE4">
        <w:rPr>
          <w:rFonts w:asciiTheme="majorHAnsi" w:hAnsiTheme="majorHAnsi" w:cstheme="majorHAnsi"/>
          <w:color w:val="auto"/>
          <w:sz w:val="28"/>
          <w:szCs w:val="28"/>
        </w:rPr>
        <w:t>Segment Conclusion</w:t>
      </w:r>
      <w:bookmarkEnd w:id="14"/>
      <w:bookmarkEnd w:id="15"/>
    </w:p>
    <w:p w14:paraId="1B69EBEC" w14:textId="77777777" w:rsidR="00E257D7" w:rsidRPr="00802649" w:rsidRDefault="00E257D7" w:rsidP="00D41486">
      <w:pPr>
        <w:rPr>
          <w:rFonts w:asciiTheme="majorHAnsi" w:hAnsiTheme="majorHAnsi" w:cstheme="majorHAnsi"/>
          <w:sz w:val="24"/>
          <w:szCs w:val="24"/>
        </w:rPr>
      </w:pPr>
    </w:p>
    <w:p w14:paraId="498C8F15"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is the main difference between the different disclosures required for clients vs. nonclients?</w:t>
      </w:r>
    </w:p>
    <w:p w14:paraId="3059E402" w14:textId="77777777"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While you must make full and complete disclosure to your principal, you only owe the duty of good faith and fair dealing to nonclients.</w:t>
      </w:r>
    </w:p>
    <w:p w14:paraId="038CF03B" w14:textId="77777777" w:rsidR="00E257D7" w:rsidRPr="00802649" w:rsidRDefault="00E257D7" w:rsidP="00D41486">
      <w:pPr>
        <w:rPr>
          <w:rFonts w:asciiTheme="majorHAnsi" w:hAnsiTheme="majorHAnsi" w:cstheme="majorHAnsi"/>
          <w:color w:val="FF0000"/>
          <w:sz w:val="24"/>
          <w:szCs w:val="24"/>
        </w:rPr>
      </w:pPr>
    </w:p>
    <w:p w14:paraId="50E8B032"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lastRenderedPageBreak/>
        <w:t>In what type of situation might you incur risk for passing along information to a buyer obtained from your seller?</w:t>
      </w:r>
    </w:p>
    <w:p w14:paraId="09BC40D0" w14:textId="77777777" w:rsidR="00E257D7" w:rsidRPr="00A27310" w:rsidRDefault="00E257D7" w:rsidP="00D41486">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If you have reason to believe the information is false or you have witnessed evidence indicating the information is false.</w:t>
      </w:r>
    </w:p>
    <w:p w14:paraId="160F2C74" w14:textId="77777777" w:rsidR="00E257D7" w:rsidRPr="00802649" w:rsidRDefault="00E257D7" w:rsidP="00D41486">
      <w:pPr>
        <w:rPr>
          <w:rFonts w:asciiTheme="majorHAnsi" w:hAnsiTheme="majorHAnsi" w:cstheme="majorHAnsi"/>
          <w:sz w:val="24"/>
          <w:szCs w:val="24"/>
        </w:rPr>
      </w:pPr>
    </w:p>
    <w:p w14:paraId="5F291D27" w14:textId="77777777" w:rsidR="00E257D7" w:rsidRPr="00802649" w:rsidRDefault="00E257D7" w:rsidP="00D41486">
      <w:pPr>
        <w:rPr>
          <w:rFonts w:asciiTheme="majorHAnsi" w:hAnsiTheme="majorHAnsi" w:cstheme="majorHAnsi"/>
          <w:b/>
          <w:sz w:val="24"/>
          <w:szCs w:val="24"/>
        </w:rPr>
      </w:pPr>
      <w:r w:rsidRPr="00802649">
        <w:rPr>
          <w:rFonts w:asciiTheme="majorHAnsi" w:hAnsiTheme="majorHAnsi" w:cstheme="majorHAnsi"/>
          <w:b/>
          <w:sz w:val="24"/>
          <w:szCs w:val="24"/>
        </w:rPr>
        <w:t>What should you do if your client requests information regarding a transaction beyond the scope of your expertise?</w:t>
      </w:r>
    </w:p>
    <w:p w14:paraId="47505827" w14:textId="77777777" w:rsidR="00E257D7" w:rsidRPr="002048ED" w:rsidRDefault="00E257D7" w:rsidP="00D41486">
      <w:pPr>
        <w:rPr>
          <w:rFonts w:asciiTheme="majorHAnsi" w:hAnsiTheme="majorHAnsi" w:cstheme="majorHAnsi"/>
          <w:b/>
          <w:i/>
          <w:vanish/>
          <w:color w:val="FF0000"/>
          <w:sz w:val="24"/>
          <w:szCs w:val="24"/>
        </w:rPr>
      </w:pPr>
      <w:r w:rsidRPr="002048ED">
        <w:rPr>
          <w:rFonts w:asciiTheme="majorHAnsi" w:hAnsiTheme="majorHAnsi" w:cstheme="majorHAnsi"/>
          <w:b/>
          <w:i/>
          <w:vanish/>
          <w:color w:val="FF0000"/>
          <w:sz w:val="24"/>
          <w:szCs w:val="24"/>
        </w:rPr>
        <w:t>Recommend they obtain advice from a qualified professional.</w:t>
      </w:r>
    </w:p>
    <w:p w14:paraId="4B448C3E" w14:textId="5762357C" w:rsidR="00E257D7" w:rsidRPr="002048ED" w:rsidRDefault="001D1AF5" w:rsidP="001D1AF5">
      <w:pPr>
        <w:pStyle w:val="Heading1"/>
        <w:rPr>
          <w:rFonts w:asciiTheme="majorHAnsi" w:hAnsiTheme="majorHAnsi" w:cstheme="majorHAnsi"/>
          <w:bCs w:val="0"/>
          <w:color w:val="auto"/>
          <w:sz w:val="32"/>
          <w:szCs w:val="32"/>
        </w:rPr>
      </w:pPr>
      <w:bookmarkStart w:id="16" w:name="_Toc190850893"/>
      <w:bookmarkStart w:id="17" w:name="_Toc65239063"/>
      <w:r w:rsidRPr="002048ED">
        <w:rPr>
          <w:rFonts w:asciiTheme="majorHAnsi" w:hAnsiTheme="majorHAnsi" w:cstheme="majorHAnsi"/>
          <w:bCs w:val="0"/>
          <w:color w:val="auto"/>
          <w:sz w:val="32"/>
          <w:szCs w:val="32"/>
        </w:rPr>
        <w:t xml:space="preserve">Unit 1, Segment 1: </w:t>
      </w:r>
      <w:r w:rsidR="00E257D7" w:rsidRPr="002048ED">
        <w:rPr>
          <w:rFonts w:asciiTheme="majorHAnsi" w:hAnsiTheme="majorHAnsi" w:cstheme="majorHAnsi"/>
          <w:bCs w:val="0"/>
          <w:color w:val="auto"/>
        </w:rPr>
        <w:t>Broker Disclosure List</w:t>
      </w:r>
      <w:bookmarkEnd w:id="16"/>
      <w:bookmarkEnd w:id="17"/>
    </w:p>
    <w:p w14:paraId="3E6176F1" w14:textId="77777777" w:rsidR="00264239" w:rsidRPr="00E9684D" w:rsidRDefault="00264239" w:rsidP="00264239">
      <w:pPr>
        <w:rPr>
          <w:vanish/>
          <w:color w:val="4F81BD" w:themeColor="accent1"/>
          <w:sz w:val="24"/>
          <w:szCs w:val="24"/>
        </w:rPr>
      </w:pPr>
      <w:r w:rsidRPr="00E9684D">
        <w:rPr>
          <w:b/>
          <w:bCs/>
          <w:vanish/>
          <w:color w:val="4F81BD" w:themeColor="accent1"/>
          <w:sz w:val="24"/>
          <w:szCs w:val="24"/>
        </w:rPr>
        <w:t xml:space="preserve">Poll #2 (two questions in this poll) </w:t>
      </w:r>
      <w:r w:rsidRPr="00E9684D">
        <w:rPr>
          <w:b/>
          <w:bCs/>
          <w:vanish/>
          <w:color w:val="4F81BD" w:themeColor="accent1"/>
          <w:sz w:val="24"/>
          <w:szCs w:val="24"/>
          <w:highlight w:val="yellow"/>
        </w:rPr>
        <w:t>after page 6</w:t>
      </w:r>
    </w:p>
    <w:p w14:paraId="3C1CC43B" w14:textId="77777777" w:rsidR="00264239" w:rsidRPr="00E9684D" w:rsidRDefault="00264239" w:rsidP="00264239">
      <w:pPr>
        <w:rPr>
          <w:vanish/>
          <w:color w:val="4F81BD" w:themeColor="accent1"/>
          <w:sz w:val="24"/>
          <w:szCs w:val="24"/>
        </w:rPr>
      </w:pPr>
      <w:r w:rsidRPr="00E9684D">
        <w:rPr>
          <w:vanish/>
          <w:color w:val="4F81BD" w:themeColor="accent1"/>
          <w:sz w:val="24"/>
          <w:szCs w:val="24"/>
        </w:rPr>
        <w:t>1) Have you ever been involved in a legal dispute or complaint pertaining to disclosure/non-disclosure?</w:t>
      </w:r>
    </w:p>
    <w:p w14:paraId="36A0EC9E" w14:textId="77777777" w:rsidR="00264239" w:rsidRPr="00264239" w:rsidRDefault="00264239" w:rsidP="00264239">
      <w:pPr>
        <w:pStyle w:val="ListParagraph"/>
        <w:numPr>
          <w:ilvl w:val="0"/>
          <w:numId w:val="75"/>
        </w:numPr>
        <w:rPr>
          <w:vanish/>
          <w:color w:val="4F81BD" w:themeColor="accent1"/>
          <w:sz w:val="24"/>
          <w:szCs w:val="24"/>
        </w:rPr>
      </w:pPr>
      <w:r w:rsidRPr="00264239">
        <w:rPr>
          <w:vanish/>
          <w:color w:val="4F81BD" w:themeColor="accent1"/>
          <w:sz w:val="24"/>
          <w:szCs w:val="24"/>
        </w:rPr>
        <w:t>Yes</w:t>
      </w:r>
    </w:p>
    <w:p w14:paraId="56A2336D" w14:textId="77777777" w:rsidR="00264239" w:rsidRPr="00264239" w:rsidRDefault="00264239" w:rsidP="00264239">
      <w:pPr>
        <w:pStyle w:val="ListParagraph"/>
        <w:numPr>
          <w:ilvl w:val="0"/>
          <w:numId w:val="75"/>
        </w:numPr>
        <w:rPr>
          <w:vanish/>
          <w:color w:val="4F81BD" w:themeColor="accent1"/>
          <w:sz w:val="24"/>
          <w:szCs w:val="24"/>
        </w:rPr>
      </w:pPr>
      <w:r w:rsidRPr="00264239">
        <w:rPr>
          <w:vanish/>
          <w:color w:val="4F81BD" w:themeColor="accent1"/>
          <w:sz w:val="24"/>
          <w:szCs w:val="24"/>
        </w:rPr>
        <w:t>No</w:t>
      </w:r>
    </w:p>
    <w:p w14:paraId="279BC81F" w14:textId="77777777" w:rsidR="00264239" w:rsidRPr="00E9684D" w:rsidRDefault="00264239" w:rsidP="00264239">
      <w:pPr>
        <w:rPr>
          <w:vanish/>
          <w:color w:val="4F81BD" w:themeColor="accent1"/>
          <w:sz w:val="24"/>
          <w:szCs w:val="24"/>
        </w:rPr>
      </w:pPr>
    </w:p>
    <w:p w14:paraId="1E5919D7" w14:textId="77777777" w:rsidR="00264239" w:rsidRPr="00E9684D" w:rsidRDefault="00264239" w:rsidP="00264239">
      <w:pPr>
        <w:rPr>
          <w:vanish/>
          <w:color w:val="4F81BD" w:themeColor="accent1"/>
          <w:sz w:val="24"/>
          <w:szCs w:val="24"/>
        </w:rPr>
      </w:pPr>
      <w:r w:rsidRPr="00E9684D">
        <w:rPr>
          <w:vanish/>
          <w:color w:val="4F81BD" w:themeColor="accent1"/>
          <w:sz w:val="24"/>
          <w:szCs w:val="24"/>
        </w:rPr>
        <w:t>2) If you have been involved in a disclosure/non-disclosure, which of the following did it pertain to:</w:t>
      </w:r>
    </w:p>
    <w:p w14:paraId="5B411902"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dual agency</w:t>
      </w:r>
    </w:p>
    <w:p w14:paraId="6B693BA3"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reasonable care</w:t>
      </w:r>
    </w:p>
    <w:p w14:paraId="3F21DB38"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procuring cause</w:t>
      </w:r>
    </w:p>
    <w:p w14:paraId="10E3C8B1" w14:textId="77777777" w:rsidR="00264239" w:rsidRPr="00500D58" w:rsidRDefault="00264239" w:rsidP="00264239">
      <w:pPr>
        <w:pStyle w:val="ListParagraph"/>
        <w:numPr>
          <w:ilvl w:val="0"/>
          <w:numId w:val="73"/>
        </w:numPr>
        <w:rPr>
          <w:vanish/>
          <w:color w:val="4F81BD" w:themeColor="accent1"/>
          <w:sz w:val="24"/>
          <w:szCs w:val="24"/>
        </w:rPr>
      </w:pPr>
      <w:r w:rsidRPr="00500D58">
        <w:rPr>
          <w:vanish/>
          <w:color w:val="4F81BD" w:themeColor="accent1"/>
          <w:sz w:val="24"/>
          <w:szCs w:val="24"/>
        </w:rPr>
        <w:t>other</w:t>
      </w:r>
    </w:p>
    <w:p w14:paraId="1C99AEE3" w14:textId="77777777" w:rsidR="00264239" w:rsidRDefault="00264239" w:rsidP="00602158"/>
    <w:p w14:paraId="64CE1465" w14:textId="4C8EC7F4" w:rsidR="00E257D7" w:rsidRDefault="00E257D7" w:rsidP="00602158">
      <w:pPr>
        <w:rPr>
          <w:rFonts w:asciiTheme="majorHAnsi" w:hAnsiTheme="majorHAnsi" w:cstheme="majorHAnsi"/>
          <w:sz w:val="24"/>
          <w:szCs w:val="24"/>
        </w:rPr>
      </w:pPr>
      <w:r w:rsidRPr="00802649">
        <w:rPr>
          <w:rFonts w:asciiTheme="majorHAnsi" w:hAnsiTheme="majorHAnsi" w:cstheme="majorHAnsi"/>
          <w:sz w:val="24"/>
          <w:szCs w:val="24"/>
        </w:rPr>
        <w:t xml:space="preserve">Disclosure obligations imposed by common law are reflected by the ADRE Commissioner’s Rules.  </w:t>
      </w:r>
    </w:p>
    <w:p w14:paraId="7A7D9210" w14:textId="77777777" w:rsidR="00E9684D" w:rsidRPr="00802649" w:rsidRDefault="00E9684D" w:rsidP="00602158">
      <w:pPr>
        <w:rPr>
          <w:rFonts w:asciiTheme="majorHAnsi" w:hAnsiTheme="majorHAnsi" w:cstheme="majorHAnsi"/>
          <w:sz w:val="24"/>
          <w:szCs w:val="24"/>
        </w:rPr>
      </w:pPr>
    </w:p>
    <w:p w14:paraId="50F145DA" w14:textId="77777777"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Seller Clients:</w:t>
      </w:r>
    </w:p>
    <w:p w14:paraId="531189E5"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All offers (R4-28-802(B))</w:t>
      </w:r>
    </w:p>
    <w:p w14:paraId="62E3FDE4"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Any known information that the buyer is or may be unable to perform (R4-28-1101(B))</w:t>
      </w:r>
    </w:p>
    <w:p w14:paraId="5F8FFCA7"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lastRenderedPageBreak/>
        <w:t>If the broker, broker’s family or a business entity in which the broker has an interest is the buyer (R4-28-1101(E))</w:t>
      </w:r>
    </w:p>
    <w:p w14:paraId="31DC70EE"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14:paraId="70E52144" w14:textId="77777777" w:rsidR="00E257D7" w:rsidRPr="00802649" w:rsidRDefault="00E257D7" w:rsidP="003120B8">
      <w:pPr>
        <w:pStyle w:val="ListParagraph"/>
        <w:numPr>
          <w:ilvl w:val="0"/>
          <w:numId w:val="14"/>
        </w:numPr>
        <w:rPr>
          <w:rFonts w:asciiTheme="majorHAnsi" w:hAnsiTheme="majorHAnsi" w:cstheme="majorHAnsi"/>
          <w:sz w:val="24"/>
          <w:szCs w:val="24"/>
        </w:rPr>
      </w:pPr>
      <w:r w:rsidRPr="00802649">
        <w:rPr>
          <w:rFonts w:asciiTheme="majorHAnsi" w:hAnsiTheme="majorHAnsi" w:cstheme="majorHAnsi"/>
          <w:sz w:val="24"/>
          <w:szCs w:val="24"/>
        </w:rPr>
        <w:t>The name of each employing broker receiving compensation from the transaction (R4-28-701)</w:t>
      </w:r>
    </w:p>
    <w:p w14:paraId="213A207F" w14:textId="77777777" w:rsidR="00E257D7" w:rsidRPr="00802649" w:rsidRDefault="00E257D7" w:rsidP="00602158">
      <w:pPr>
        <w:rPr>
          <w:rFonts w:asciiTheme="majorHAnsi" w:hAnsiTheme="majorHAnsi" w:cstheme="majorHAnsi"/>
          <w:b/>
          <w:sz w:val="24"/>
          <w:szCs w:val="24"/>
        </w:rPr>
      </w:pPr>
      <w:r w:rsidRPr="00802649">
        <w:rPr>
          <w:rFonts w:asciiTheme="majorHAnsi" w:hAnsiTheme="majorHAnsi" w:cstheme="majorHAnsi"/>
          <w:b/>
          <w:sz w:val="24"/>
          <w:szCs w:val="24"/>
        </w:rPr>
        <w:t>Disclosures to Buyer Clients:</w:t>
      </w:r>
    </w:p>
    <w:p w14:paraId="4DFD661A"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All known defects existing in the property (R4-28-1101(B)(3))</w:t>
      </w:r>
    </w:p>
    <w:p w14:paraId="0D42D59B"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Any known information that the seller is or may be unable to perform (R4-28-1101(B)(1))</w:t>
      </w:r>
    </w:p>
    <w:p w14:paraId="58094CD6"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The possible existence of a known lien or encumbrance on the property (R4-28-1101(B)(4))</w:t>
      </w:r>
    </w:p>
    <w:p w14:paraId="77D58A0D" w14:textId="77777777" w:rsidR="00E257D7" w:rsidRPr="00802649" w:rsidRDefault="00E257D7" w:rsidP="003120B8">
      <w:pPr>
        <w:pStyle w:val="ListParagraph"/>
        <w:numPr>
          <w:ilvl w:val="0"/>
          <w:numId w:val="15"/>
        </w:numPr>
        <w:rPr>
          <w:rFonts w:asciiTheme="majorHAnsi" w:hAnsiTheme="majorHAnsi" w:cstheme="majorHAnsi"/>
          <w:sz w:val="24"/>
          <w:szCs w:val="24"/>
        </w:rPr>
      </w:pPr>
      <w:r w:rsidRPr="00802649">
        <w:rPr>
          <w:rFonts w:asciiTheme="majorHAnsi" w:hAnsiTheme="majorHAnsi" w:cstheme="majorHAnsi"/>
          <w:sz w:val="24"/>
          <w:szCs w:val="24"/>
        </w:rPr>
        <w:t>If the broker, broker’s family or a business entity in which the broker has an interest is the seller (R4-28-1101(E))</w:t>
      </w:r>
    </w:p>
    <w:p w14:paraId="561E0C88" w14:textId="77777777"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If the broker is receiving any compensation, rebate or profit for the transaction (and obtain written consent)(R4-28-1101(G))</w:t>
      </w:r>
    </w:p>
    <w:p w14:paraId="59D3A854" w14:textId="77777777" w:rsidR="00E257D7" w:rsidRPr="00802649" w:rsidRDefault="00E257D7" w:rsidP="003120B8">
      <w:pPr>
        <w:pStyle w:val="ListParagraph"/>
        <w:numPr>
          <w:ilvl w:val="0"/>
          <w:numId w:val="15"/>
        </w:numPr>
        <w:rPr>
          <w:rFonts w:asciiTheme="majorHAnsi" w:hAnsiTheme="majorHAnsi" w:cstheme="majorHAnsi"/>
          <w:b/>
          <w:color w:val="FF0000"/>
          <w:sz w:val="24"/>
          <w:szCs w:val="24"/>
        </w:rPr>
      </w:pPr>
      <w:r w:rsidRPr="00802649">
        <w:rPr>
          <w:rFonts w:asciiTheme="majorHAnsi" w:hAnsiTheme="majorHAnsi" w:cstheme="majorHAnsi"/>
          <w:sz w:val="24"/>
          <w:szCs w:val="24"/>
        </w:rPr>
        <w:t>The name of each employing broker receiving compensation from the transaction (R4-28-701)</w:t>
      </w:r>
    </w:p>
    <w:p w14:paraId="27ED8013" w14:textId="77777777" w:rsidR="00E257D7" w:rsidRPr="00802649" w:rsidRDefault="00E257D7" w:rsidP="004723F7">
      <w:pPr>
        <w:rPr>
          <w:rFonts w:asciiTheme="majorHAnsi" w:hAnsiTheme="majorHAnsi" w:cstheme="majorHAnsi"/>
          <w:b/>
          <w:color w:val="FF0000"/>
          <w:sz w:val="24"/>
          <w:szCs w:val="24"/>
        </w:rPr>
      </w:pPr>
    </w:p>
    <w:p w14:paraId="5D571F69"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725CD60F" w14:textId="77777777" w:rsidR="00E257D7" w:rsidRPr="00A27310" w:rsidRDefault="00E257D7" w:rsidP="00021EC2">
      <w:pPr>
        <w:pStyle w:val="Heading1"/>
        <w:rPr>
          <w:rFonts w:asciiTheme="majorHAnsi" w:hAnsiTheme="majorHAnsi" w:cstheme="majorHAnsi"/>
          <w:color w:val="auto"/>
          <w:sz w:val="32"/>
          <w:szCs w:val="32"/>
        </w:rPr>
      </w:pPr>
      <w:bookmarkStart w:id="18" w:name="_Toc65239064"/>
      <w:r w:rsidRPr="00A27310">
        <w:rPr>
          <w:rFonts w:asciiTheme="majorHAnsi" w:hAnsiTheme="majorHAnsi" w:cstheme="majorHAnsi"/>
          <w:color w:val="auto"/>
          <w:sz w:val="32"/>
          <w:szCs w:val="32"/>
        </w:rPr>
        <w:lastRenderedPageBreak/>
        <w:t>Unit 1, Segment 2: Seller Disclosures</w:t>
      </w:r>
      <w:bookmarkEnd w:id="18"/>
    </w:p>
    <w:p w14:paraId="6E8CF243" w14:textId="77777777" w:rsidR="00E257D7" w:rsidRPr="00802649" w:rsidRDefault="00E257D7" w:rsidP="00021EC2">
      <w:pPr>
        <w:rPr>
          <w:rFonts w:asciiTheme="majorHAnsi" w:hAnsiTheme="majorHAnsi" w:cstheme="majorHAnsi"/>
          <w:sz w:val="24"/>
          <w:szCs w:val="24"/>
        </w:rPr>
      </w:pPr>
    </w:p>
    <w:p w14:paraId="3036D513" w14:textId="77777777" w:rsidR="00E257D7" w:rsidRPr="00A27310" w:rsidRDefault="00E257D7" w:rsidP="00021EC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 approximately 15-20 minutes for each case</w:t>
      </w:r>
    </w:p>
    <w:p w14:paraId="4299008F" w14:textId="77777777" w:rsidR="00E257D7" w:rsidRPr="00802649" w:rsidRDefault="00E257D7" w:rsidP="00021EC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02B752CF" w14:textId="77777777" w:rsidR="00E257D7" w:rsidRPr="00802649" w:rsidRDefault="00E257D7" w:rsidP="003120B8">
      <w:pPr>
        <w:pStyle w:val="ListParagraph"/>
        <w:numPr>
          <w:ilvl w:val="0"/>
          <w:numId w:val="10"/>
        </w:numPr>
        <w:rPr>
          <w:rFonts w:asciiTheme="majorHAnsi" w:hAnsiTheme="majorHAnsi" w:cstheme="majorHAnsi"/>
          <w:b/>
          <w:sz w:val="24"/>
          <w:szCs w:val="24"/>
        </w:rPr>
      </w:pPr>
      <w:r w:rsidRPr="00802649">
        <w:rPr>
          <w:rFonts w:asciiTheme="majorHAnsi" w:hAnsiTheme="majorHAnsi" w:cstheme="majorHAnsi"/>
          <w:sz w:val="24"/>
          <w:szCs w:val="24"/>
        </w:rPr>
        <w:t xml:space="preserve">To identify required seller disclosures as required by common law </w:t>
      </w:r>
    </w:p>
    <w:p w14:paraId="4DF06F0B" w14:textId="77777777" w:rsidR="00E257D7" w:rsidRPr="00802649" w:rsidRDefault="00E257D7" w:rsidP="00D730FD">
      <w:pPr>
        <w:pStyle w:val="ListParagraph"/>
        <w:rPr>
          <w:rFonts w:asciiTheme="majorHAnsi" w:hAnsiTheme="majorHAnsi" w:cstheme="majorHAnsi"/>
          <w:b/>
          <w:sz w:val="24"/>
          <w:szCs w:val="24"/>
        </w:rPr>
      </w:pPr>
    </w:p>
    <w:p w14:paraId="1BE0DA68"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sellers failing to make the required disclosures?</w:t>
      </w:r>
    </w:p>
    <w:p w14:paraId="1C27975C"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 associated with fraud and misrepresentation</w:t>
      </w:r>
    </w:p>
    <w:p w14:paraId="35E65427"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Rescission</w:t>
      </w:r>
    </w:p>
    <w:p w14:paraId="60372AB1" w14:textId="77777777" w:rsidR="00E257D7" w:rsidRPr="00A27310" w:rsidRDefault="00E257D7" w:rsidP="003120B8">
      <w:pPr>
        <w:pStyle w:val="ListParagraph"/>
        <w:numPr>
          <w:ilvl w:val="0"/>
          <w:numId w:val="10"/>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3F6DAFED" w14:textId="05B5F376" w:rsidR="00E257D7" w:rsidRDefault="001D1AF5" w:rsidP="00DC5382">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14E6E729"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793ED367"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049A90B" w14:textId="77777777" w:rsidR="001D1AF5" w:rsidRPr="00802649" w:rsidRDefault="001D1AF5" w:rsidP="00DC5382">
      <w:pPr>
        <w:rPr>
          <w:rFonts w:asciiTheme="majorHAnsi" w:hAnsiTheme="majorHAnsi" w:cstheme="majorHAnsi"/>
          <w:sz w:val="24"/>
          <w:szCs w:val="24"/>
        </w:rPr>
      </w:pPr>
    </w:p>
    <w:p w14:paraId="7F2FD5DA" w14:textId="77777777" w:rsidR="00E257D7" w:rsidRPr="00802649" w:rsidRDefault="00E257D7" w:rsidP="00DC5382">
      <w:pPr>
        <w:rPr>
          <w:rFonts w:asciiTheme="majorHAnsi" w:hAnsiTheme="majorHAnsi" w:cstheme="majorHAnsi"/>
          <w:b/>
          <w:sz w:val="24"/>
          <w:szCs w:val="24"/>
        </w:rPr>
      </w:pPr>
      <w:r w:rsidRPr="00802649">
        <w:rPr>
          <w:rFonts w:asciiTheme="majorHAnsi" w:hAnsiTheme="majorHAnsi" w:cstheme="majorHAnsi"/>
          <w:b/>
          <w:sz w:val="24"/>
          <w:szCs w:val="24"/>
        </w:rPr>
        <w:t>Introduction</w:t>
      </w:r>
    </w:p>
    <w:p w14:paraId="692C1816" w14:textId="77777777"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sz w:val="24"/>
          <w:szCs w:val="24"/>
        </w:rPr>
        <w:t>Sellers have certain common law duties to disclose material facts about a property.  In some cases, they have a duty to disclose property conditions regardless of whether or not they consider them material.  The following cases highlight some important disclosures required under common law.</w:t>
      </w:r>
    </w:p>
    <w:p w14:paraId="5BA4E2A0" w14:textId="77777777" w:rsidR="00E257D7" w:rsidRPr="00802649" w:rsidRDefault="00E257D7" w:rsidP="00DC5382">
      <w:pPr>
        <w:rPr>
          <w:rFonts w:asciiTheme="majorHAnsi" w:hAnsiTheme="majorHAnsi" w:cstheme="majorHAnsi"/>
          <w:sz w:val="24"/>
          <w:szCs w:val="24"/>
        </w:rPr>
      </w:pPr>
      <w:r w:rsidRPr="00802649">
        <w:rPr>
          <w:rFonts w:asciiTheme="majorHAnsi" w:hAnsiTheme="majorHAnsi" w:cstheme="majorHAnsi"/>
          <w:i/>
          <w:sz w:val="24"/>
          <w:szCs w:val="24"/>
        </w:rPr>
        <w:t>Note:</w:t>
      </w:r>
      <w:r w:rsidRPr="00802649">
        <w:rPr>
          <w:rFonts w:asciiTheme="majorHAnsi" w:hAnsiTheme="majorHAnsi" w:cstheme="majorHAnsi"/>
          <w:sz w:val="24"/>
          <w:szCs w:val="24"/>
        </w:rPr>
        <w:t xml:space="preserve"> Specific disclosures required by Arizona statute will be covered in Segment 4.</w:t>
      </w:r>
    </w:p>
    <w:p w14:paraId="5F96FDC6" w14:textId="77777777" w:rsidR="00E257D7" w:rsidRPr="00802649" w:rsidRDefault="00E257D7" w:rsidP="00DC5382">
      <w:pPr>
        <w:rPr>
          <w:rFonts w:asciiTheme="majorHAnsi" w:hAnsiTheme="majorHAnsi" w:cstheme="majorHAnsi"/>
          <w:sz w:val="24"/>
          <w:szCs w:val="24"/>
        </w:rPr>
      </w:pPr>
    </w:p>
    <w:p w14:paraId="135705BE" w14:textId="77777777" w:rsidR="00E257D7" w:rsidRPr="00A27310" w:rsidRDefault="00E257D7" w:rsidP="00D730FD">
      <w:pPr>
        <w:pStyle w:val="Heading2"/>
        <w:rPr>
          <w:rFonts w:asciiTheme="majorHAnsi" w:hAnsiTheme="majorHAnsi" w:cstheme="majorHAnsi"/>
          <w:color w:val="auto"/>
          <w:sz w:val="28"/>
          <w:szCs w:val="28"/>
        </w:rPr>
      </w:pPr>
      <w:bookmarkStart w:id="19" w:name="_Toc190850895"/>
      <w:bookmarkStart w:id="20" w:name="_Toc65239065"/>
      <w:r w:rsidRPr="00A27310">
        <w:rPr>
          <w:rFonts w:asciiTheme="majorHAnsi" w:hAnsiTheme="majorHAnsi" w:cstheme="majorHAnsi"/>
          <w:i/>
          <w:color w:val="auto"/>
          <w:sz w:val="28"/>
          <w:szCs w:val="28"/>
        </w:rPr>
        <w:t>Hill v. Jones</w:t>
      </w:r>
      <w:r w:rsidRPr="00A27310">
        <w:rPr>
          <w:rFonts w:asciiTheme="majorHAnsi" w:hAnsiTheme="majorHAnsi" w:cstheme="majorHAnsi"/>
          <w:color w:val="auto"/>
          <w:sz w:val="28"/>
          <w:szCs w:val="28"/>
        </w:rPr>
        <w:t>, 151 Ariz. 81, 725 P.2d 1115 (App. 1986)</w:t>
      </w:r>
      <w:bookmarkEnd w:id="19"/>
      <w:bookmarkEnd w:id="20"/>
    </w:p>
    <w:p w14:paraId="0C83F436"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3D3C7935" w14:textId="77777777" w:rsidR="00E257D7" w:rsidRPr="00802649" w:rsidRDefault="00E257D7" w:rsidP="00D730FD">
      <w:pPr>
        <w:rPr>
          <w:rFonts w:asciiTheme="majorHAnsi" w:hAnsiTheme="majorHAnsi" w:cstheme="majorHAnsi"/>
          <w:b/>
          <w:sz w:val="24"/>
          <w:szCs w:val="24"/>
        </w:rPr>
      </w:pPr>
    </w:p>
    <w:p w14:paraId="5402CBEE"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0A5655F6"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buyers and sellers entered into a contract for a home with a wood floor.</w:t>
      </w:r>
    </w:p>
    <w:p w14:paraId="2D2C7272"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sellers disclosed no past termite damage and the termite report indicated no visible evidence of infestation or previous treatment.</w:t>
      </w:r>
    </w:p>
    <w:p w14:paraId="1D2F3C1C"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lastRenderedPageBreak/>
        <w:t>After close of escrow, the buyers learned from a neighbor that the house had past termite infestation.  The buyers also discovered part of the wood floor was crumbling.</w:t>
      </w:r>
    </w:p>
    <w:p w14:paraId="3821B698"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The termite inspector had not seen the treatment holes in the patio because of stacked boxes and did not find the termite damage inside because a large plant covered the area.</w:t>
      </w:r>
    </w:p>
    <w:p w14:paraId="0066B672" w14:textId="77777777" w:rsidR="00E257D7" w:rsidRPr="00802649" w:rsidRDefault="00E257D7" w:rsidP="003120B8">
      <w:pPr>
        <w:pStyle w:val="ListParagraph"/>
        <w:numPr>
          <w:ilvl w:val="0"/>
          <w:numId w:val="11"/>
        </w:numPr>
        <w:rPr>
          <w:rFonts w:asciiTheme="majorHAnsi" w:hAnsiTheme="majorHAnsi" w:cstheme="majorHAnsi"/>
          <w:sz w:val="24"/>
          <w:szCs w:val="24"/>
        </w:rPr>
      </w:pPr>
      <w:r w:rsidRPr="00802649">
        <w:rPr>
          <w:rFonts w:asciiTheme="majorHAnsi" w:hAnsiTheme="majorHAnsi" w:cstheme="majorHAnsi"/>
          <w:sz w:val="24"/>
          <w:szCs w:val="24"/>
        </w:rPr>
        <w:t>When the buyers filed suit against the sellers, they discovered the sellers had received two termite guarantees from the previous owner, had treated the house twice for termites and that the existing termite damage had not been repaired.</w:t>
      </w:r>
    </w:p>
    <w:p w14:paraId="7F71E2FD"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p>
    <w:p w14:paraId="4F1E113A" w14:textId="77777777"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found the seller had duty to disclose known facts to the buyer.</w:t>
      </w:r>
    </w:p>
    <w:p w14:paraId="4F87B5F6" w14:textId="77777777" w:rsidR="00E257D7" w:rsidRPr="00A27310"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delineated a seller’s duty to disclose known facts materially affecting the value of a property that are not readily observable and are not known to buyers.</w:t>
      </w:r>
    </w:p>
    <w:p w14:paraId="245C7AAE" w14:textId="77777777" w:rsidR="00E257D7" w:rsidRDefault="00E257D7" w:rsidP="003120B8">
      <w:pPr>
        <w:pStyle w:val="ListParagraph"/>
        <w:numPr>
          <w:ilvl w:val="0"/>
          <w:numId w:val="29"/>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The court further stated that under certain circumstances, nondisclosure of a known fact may be equivalent to the assertion the fact does not exist and, therefore, may be given the same legal effect as fraud and misrepresentation. </w:t>
      </w:r>
    </w:p>
    <w:p w14:paraId="0ADB36A9" w14:textId="77777777" w:rsidR="0027447D" w:rsidRPr="00A27310" w:rsidRDefault="0027447D" w:rsidP="003120B8">
      <w:pPr>
        <w:pStyle w:val="ListParagraph"/>
        <w:numPr>
          <w:ilvl w:val="0"/>
          <w:numId w:val="29"/>
        </w:numPr>
        <w:rPr>
          <w:rFonts w:asciiTheme="majorHAnsi" w:hAnsiTheme="majorHAnsi" w:cstheme="majorHAnsi"/>
          <w:b/>
          <w:i/>
          <w:vanish/>
          <w:color w:val="FF0000"/>
          <w:sz w:val="24"/>
          <w:szCs w:val="24"/>
        </w:rPr>
      </w:pPr>
      <w:r>
        <w:rPr>
          <w:rFonts w:asciiTheme="majorHAnsi" w:hAnsiTheme="majorHAnsi" w:cstheme="majorHAnsi"/>
          <w:b/>
          <w:i/>
          <w:vanish/>
          <w:color w:val="FF0000"/>
          <w:sz w:val="24"/>
          <w:szCs w:val="24"/>
        </w:rPr>
        <w:t>Not telling is the same as lying</w:t>
      </w:r>
    </w:p>
    <w:p w14:paraId="7A410981"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C169A11"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7A214FEB"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6B03F117" w14:textId="77777777" w:rsidR="001D1AF5" w:rsidRPr="00802649" w:rsidRDefault="001D1AF5" w:rsidP="001D1AF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67BB9A97" w14:textId="77777777" w:rsidR="00E257D7" w:rsidRPr="00802649" w:rsidRDefault="00E257D7" w:rsidP="00D730FD">
      <w:pPr>
        <w:rPr>
          <w:rFonts w:asciiTheme="majorHAnsi" w:hAnsiTheme="majorHAnsi" w:cstheme="majorHAnsi"/>
          <w:sz w:val="24"/>
          <w:szCs w:val="24"/>
        </w:rPr>
      </w:pPr>
    </w:p>
    <w:p w14:paraId="30C4CA2A" w14:textId="67152E7E" w:rsidR="00E257D7" w:rsidRDefault="00E257D7" w:rsidP="00D730FD">
      <w:pPr>
        <w:rPr>
          <w:rFonts w:asciiTheme="majorHAnsi" w:hAnsiTheme="majorHAnsi" w:cstheme="majorHAnsi"/>
          <w:sz w:val="24"/>
          <w:szCs w:val="24"/>
        </w:rPr>
      </w:pPr>
    </w:p>
    <w:p w14:paraId="32A585B2" w14:textId="1306C30D"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057584D8" w14:textId="77777777" w:rsidR="00DC009E" w:rsidRPr="00802649" w:rsidRDefault="00DC009E" w:rsidP="00D730FD">
      <w:pPr>
        <w:rPr>
          <w:rFonts w:asciiTheme="majorHAnsi" w:hAnsiTheme="majorHAnsi" w:cstheme="majorHAnsi"/>
          <w:sz w:val="24"/>
          <w:szCs w:val="24"/>
        </w:rPr>
      </w:pPr>
    </w:p>
    <w:p w14:paraId="13C92980" w14:textId="77777777" w:rsidR="00E257D7" w:rsidRPr="00A27310" w:rsidRDefault="00E257D7" w:rsidP="00D730FD">
      <w:pPr>
        <w:pStyle w:val="Heading2"/>
        <w:rPr>
          <w:rFonts w:asciiTheme="majorHAnsi" w:hAnsiTheme="majorHAnsi" w:cstheme="majorHAnsi"/>
          <w:color w:val="auto"/>
          <w:sz w:val="28"/>
          <w:szCs w:val="28"/>
        </w:rPr>
      </w:pPr>
      <w:bookmarkStart w:id="21" w:name="_Toc190850897"/>
      <w:bookmarkStart w:id="22" w:name="_Toc65239067"/>
      <w:r w:rsidRPr="00A27310">
        <w:rPr>
          <w:rFonts w:asciiTheme="majorHAnsi" w:hAnsiTheme="majorHAnsi" w:cstheme="majorHAnsi"/>
          <w:i/>
          <w:color w:val="auto"/>
          <w:sz w:val="28"/>
          <w:szCs w:val="28"/>
        </w:rPr>
        <w:t>S. Development Corp. v. Pima Capital Management Co.</w:t>
      </w:r>
      <w:r w:rsidRPr="00A27310">
        <w:rPr>
          <w:rFonts w:asciiTheme="majorHAnsi" w:hAnsiTheme="majorHAnsi" w:cstheme="majorHAnsi"/>
          <w:color w:val="auto"/>
          <w:sz w:val="28"/>
          <w:szCs w:val="28"/>
        </w:rPr>
        <w:t>, 201 Ariz. 10, 31 P.3d 123 (App. 2002)</w:t>
      </w:r>
      <w:bookmarkEnd w:id="21"/>
      <w:bookmarkEnd w:id="22"/>
    </w:p>
    <w:p w14:paraId="2749E15A" w14:textId="77777777" w:rsidR="00F43461" w:rsidRPr="00F43461" w:rsidRDefault="00F43461" w:rsidP="00F43461">
      <w:pPr>
        <w:rPr>
          <w:rFonts w:asciiTheme="majorHAnsi" w:hAnsiTheme="majorHAnsi" w:cstheme="majorHAnsi"/>
          <w:b/>
          <w:i/>
          <w:vanish/>
          <w:color w:val="002060"/>
          <w:sz w:val="24"/>
          <w:szCs w:val="24"/>
        </w:rPr>
      </w:pPr>
      <w:r w:rsidRPr="00F43461">
        <w:rPr>
          <w:rFonts w:asciiTheme="majorHAnsi" w:hAnsiTheme="majorHAnsi" w:cstheme="majorHAnsi"/>
          <w:b/>
          <w:i/>
          <w:vanish/>
          <w:color w:val="002060"/>
          <w:sz w:val="24"/>
          <w:szCs w:val="24"/>
        </w:rPr>
        <w:t>CASE RECORDING</w:t>
      </w:r>
    </w:p>
    <w:p w14:paraId="585708F8" w14:textId="77777777" w:rsidR="00E257D7" w:rsidRPr="00802649" w:rsidRDefault="00E257D7" w:rsidP="00D730FD">
      <w:pPr>
        <w:rPr>
          <w:rFonts w:asciiTheme="majorHAnsi" w:hAnsiTheme="majorHAnsi" w:cstheme="majorHAnsi"/>
          <w:b/>
          <w:sz w:val="24"/>
          <w:szCs w:val="24"/>
        </w:rPr>
      </w:pPr>
    </w:p>
    <w:p w14:paraId="1DFFF2AE" w14:textId="77777777"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Case Facts:</w:t>
      </w:r>
    </w:p>
    <w:p w14:paraId="7F0DB5DA"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purchased two apartment complexes from the sellers.</w:t>
      </w:r>
    </w:p>
    <w:p w14:paraId="4C0678AF"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sellers made no warranties and the properties were purchased “as is.”</w:t>
      </w:r>
    </w:p>
    <w:p w14:paraId="2F50C198"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had two engineering firms inspect the property, which revealed no substantial problems with the plumbing.</w:t>
      </w:r>
    </w:p>
    <w:p w14:paraId="481FACE6"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Two years after the sale closed, the buyer discovered the property had defective plumbing due to the polybutylene pipe used in both buildings.</w:t>
      </w:r>
    </w:p>
    <w:p w14:paraId="0238D4BE" w14:textId="77777777" w:rsidR="00E257D7" w:rsidRPr="00802649" w:rsidRDefault="00E257D7" w:rsidP="003120B8">
      <w:pPr>
        <w:pStyle w:val="ListParagraph"/>
        <w:numPr>
          <w:ilvl w:val="0"/>
          <w:numId w:val="13"/>
        </w:numPr>
        <w:rPr>
          <w:rFonts w:asciiTheme="majorHAnsi" w:hAnsiTheme="majorHAnsi" w:cstheme="majorHAnsi"/>
          <w:sz w:val="24"/>
          <w:szCs w:val="24"/>
        </w:rPr>
      </w:pPr>
      <w:r w:rsidRPr="00802649">
        <w:rPr>
          <w:rFonts w:asciiTheme="majorHAnsi" w:hAnsiTheme="majorHAnsi" w:cstheme="majorHAnsi"/>
          <w:sz w:val="24"/>
          <w:szCs w:val="24"/>
        </w:rPr>
        <w:t>The buyer sued the sellers for fraud and nondisclosure for failing to disclose the defective plumbing.</w:t>
      </w:r>
    </w:p>
    <w:p w14:paraId="594620B0" w14:textId="62D3EA15" w:rsidR="00E257D7" w:rsidRPr="00802649" w:rsidRDefault="00E257D7" w:rsidP="00D730FD">
      <w:pPr>
        <w:rPr>
          <w:rFonts w:asciiTheme="majorHAnsi" w:hAnsiTheme="majorHAnsi" w:cstheme="majorHAnsi"/>
          <w:b/>
          <w:sz w:val="24"/>
          <w:szCs w:val="24"/>
        </w:rPr>
      </w:pPr>
      <w:r w:rsidRPr="00802649">
        <w:rPr>
          <w:rFonts w:asciiTheme="majorHAnsi" w:hAnsiTheme="majorHAnsi" w:cstheme="majorHAnsi"/>
          <w:b/>
          <w:sz w:val="24"/>
          <w:szCs w:val="24"/>
        </w:rPr>
        <w:t>Decision</w:t>
      </w:r>
      <w:r w:rsidR="001D1AF5">
        <w:rPr>
          <w:rFonts w:asciiTheme="majorHAnsi" w:hAnsiTheme="majorHAnsi" w:cstheme="majorHAnsi"/>
          <w:b/>
          <w:sz w:val="24"/>
          <w:szCs w:val="24"/>
        </w:rPr>
        <w:t xml:space="preserve"> Key Points</w:t>
      </w:r>
      <w:r w:rsidRPr="00802649">
        <w:rPr>
          <w:rFonts w:asciiTheme="majorHAnsi" w:hAnsiTheme="majorHAnsi" w:cstheme="majorHAnsi"/>
          <w:b/>
          <w:sz w:val="24"/>
          <w:szCs w:val="24"/>
        </w:rPr>
        <w:t>:</w:t>
      </w:r>
    </w:p>
    <w:p w14:paraId="7260EB76" w14:textId="77777777" w:rsidR="00E257D7" w:rsidRPr="00A27310" w:rsidRDefault="00E257D7" w:rsidP="003120B8">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trial court ruled in favor of the buyer (plaintiff) and the decision was upheld by the appellate court.</w:t>
      </w:r>
    </w:p>
    <w:p w14:paraId="067F2E98" w14:textId="77777777" w:rsidR="00FC71B5" w:rsidRDefault="00E257D7" w:rsidP="00FC71B5">
      <w:pPr>
        <w:pStyle w:val="ListParagraph"/>
        <w:numPr>
          <w:ilvl w:val="0"/>
          <w:numId w:val="3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The court held that known latent defects in a property must be disclosed, regardless of whether the property is being sold “as is.”</w:t>
      </w:r>
    </w:p>
    <w:p w14:paraId="7B3647B7" w14:textId="4F4433AC" w:rsidR="00FC71B5" w:rsidRPr="00FC71B5" w:rsidRDefault="00FC71B5" w:rsidP="00FC71B5">
      <w:pPr>
        <w:rPr>
          <w:rFonts w:asciiTheme="majorHAnsi" w:hAnsiTheme="majorHAnsi" w:cstheme="majorHAnsi"/>
          <w:b/>
          <w:i/>
          <w:vanish/>
          <w:color w:val="FF0000"/>
          <w:sz w:val="24"/>
          <w:szCs w:val="24"/>
        </w:rPr>
      </w:pPr>
      <w:r w:rsidRPr="00FC71B5">
        <w:rPr>
          <w:rFonts w:asciiTheme="majorHAnsi" w:hAnsiTheme="majorHAnsi" w:cstheme="majorHAnsi"/>
          <w:sz w:val="24"/>
          <w:szCs w:val="24"/>
        </w:rPr>
        <w:t>_________________________________________________________________</w:t>
      </w:r>
    </w:p>
    <w:p w14:paraId="6998F7BC"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C64C9E7"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1A27E42"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32330022" w14:textId="77777777" w:rsidR="00FC71B5" w:rsidRPr="00FC71B5" w:rsidRDefault="00FC71B5" w:rsidP="00FC71B5">
      <w:pPr>
        <w:ind w:left="360"/>
        <w:rPr>
          <w:rFonts w:asciiTheme="majorHAnsi" w:hAnsiTheme="majorHAnsi" w:cstheme="majorHAnsi"/>
          <w:sz w:val="24"/>
          <w:szCs w:val="24"/>
        </w:rPr>
      </w:pPr>
    </w:p>
    <w:p w14:paraId="2F7C8BB1" w14:textId="3F184531" w:rsidR="00E257D7" w:rsidRDefault="00E257D7" w:rsidP="00D730FD">
      <w:pPr>
        <w:rPr>
          <w:rFonts w:asciiTheme="majorHAnsi" w:hAnsiTheme="majorHAnsi" w:cstheme="majorHAnsi"/>
          <w:sz w:val="24"/>
          <w:szCs w:val="24"/>
        </w:rPr>
      </w:pPr>
    </w:p>
    <w:p w14:paraId="28E7433F" w14:textId="77777777" w:rsidR="0026778E" w:rsidRDefault="0026778E" w:rsidP="0026778E">
      <w:pPr>
        <w:rPr>
          <w:rFonts w:asciiTheme="majorHAnsi" w:hAnsiTheme="majorHAnsi" w:cstheme="majorHAnsi"/>
          <w:b/>
          <w:vanish/>
          <w:color w:val="4F81BD" w:themeColor="accent1"/>
          <w:sz w:val="24"/>
          <w:szCs w:val="24"/>
        </w:rPr>
      </w:pPr>
      <w:r w:rsidRPr="0029540A">
        <w:rPr>
          <w:rFonts w:asciiTheme="majorHAnsi" w:hAnsiTheme="majorHAnsi" w:cstheme="majorHAnsi"/>
          <w:b/>
          <w:vanish/>
          <w:color w:val="4F81BD" w:themeColor="accent1"/>
          <w:sz w:val="24"/>
          <w:szCs w:val="24"/>
        </w:rPr>
        <w:t xml:space="preserve">Matching case with action </w:t>
      </w:r>
      <w:proofErr w:type="gramStart"/>
      <w:r w:rsidRPr="0029540A">
        <w:rPr>
          <w:rFonts w:asciiTheme="majorHAnsi" w:hAnsiTheme="majorHAnsi" w:cstheme="majorHAnsi"/>
          <w:b/>
          <w:vanish/>
          <w:color w:val="4F81BD" w:themeColor="accent1"/>
          <w:sz w:val="24"/>
          <w:szCs w:val="24"/>
        </w:rPr>
        <w:t>exercise</w:t>
      </w:r>
      <w:r>
        <w:rPr>
          <w:rFonts w:asciiTheme="majorHAnsi" w:hAnsiTheme="majorHAnsi" w:cstheme="majorHAnsi"/>
          <w:b/>
          <w:vanish/>
          <w:color w:val="4F81BD" w:themeColor="accent1"/>
          <w:sz w:val="24"/>
          <w:szCs w:val="24"/>
        </w:rPr>
        <w:t xml:space="preserve">  (</w:t>
      </w:r>
      <w:proofErr w:type="gramEnd"/>
      <w:r>
        <w:rPr>
          <w:rFonts w:asciiTheme="majorHAnsi" w:hAnsiTheme="majorHAnsi" w:cstheme="majorHAnsi"/>
          <w:b/>
          <w:vanish/>
          <w:color w:val="4F81BD" w:themeColor="accent1"/>
          <w:sz w:val="24"/>
          <w:szCs w:val="24"/>
        </w:rPr>
        <w:t>use chat and put exercise in handout)</w:t>
      </w:r>
    </w:p>
    <w:p w14:paraId="4B0B9F54" w14:textId="05F3106D" w:rsidR="0026778E" w:rsidRPr="0026778E" w:rsidRDefault="0026778E" w:rsidP="0026778E">
      <w:pPr>
        <w:rPr>
          <w:rFonts w:ascii="Arial" w:hAnsi="Arial" w:cs="Arial"/>
          <w:b/>
          <w:bCs/>
        </w:rPr>
      </w:pPr>
      <w:r w:rsidRPr="0026778E">
        <w:rPr>
          <w:rFonts w:ascii="Arial" w:hAnsi="Arial" w:cs="Arial"/>
          <w:b/>
          <w:bCs/>
        </w:rPr>
        <w:t xml:space="preserve">Write the letter next to the case </w:t>
      </w:r>
      <w:r w:rsidR="00696E22">
        <w:rPr>
          <w:rFonts w:ascii="Arial" w:hAnsi="Arial" w:cs="Arial"/>
          <w:b/>
          <w:bCs/>
        </w:rPr>
        <w:t>name</w:t>
      </w:r>
      <w:r w:rsidRPr="0026778E">
        <w:rPr>
          <w:rFonts w:ascii="Arial" w:hAnsi="Arial" w:cs="Arial"/>
          <w:b/>
          <w:bCs/>
        </w:rPr>
        <w:t xml:space="preserve"> that relates to </w:t>
      </w:r>
      <w:proofErr w:type="gramStart"/>
      <w:r w:rsidRPr="0026778E">
        <w:rPr>
          <w:rFonts w:ascii="Arial" w:hAnsi="Arial" w:cs="Arial"/>
          <w:b/>
          <w:bCs/>
        </w:rPr>
        <w:t>the  DISCLOSURE</w:t>
      </w:r>
      <w:proofErr w:type="gramEnd"/>
      <w:r w:rsidRPr="0026778E">
        <w:rPr>
          <w:rFonts w:ascii="Arial" w:hAnsi="Arial" w:cs="Arial"/>
          <w:b/>
          <w:bCs/>
        </w:rPr>
        <w:t xml:space="preserve"> action that resulted from the case:</w:t>
      </w:r>
    </w:p>
    <w:p w14:paraId="17EC3262" w14:textId="5CB16863" w:rsidR="0026778E" w:rsidRPr="0026778E" w:rsidRDefault="0026778E" w:rsidP="0026778E">
      <w:pPr>
        <w:rPr>
          <w:rFonts w:ascii="Arial" w:hAnsi="Arial" w:cs="Arial"/>
        </w:rPr>
      </w:pPr>
      <w:r w:rsidRPr="0026778E">
        <w:rPr>
          <w:rFonts w:ascii="Arial" w:hAnsi="Arial" w:cs="Arial"/>
        </w:rPr>
        <w:t>___ Hill v Jones</w:t>
      </w:r>
    </w:p>
    <w:p w14:paraId="5B559D69" w14:textId="5F4D0823" w:rsidR="0026778E" w:rsidRPr="0026778E" w:rsidRDefault="0026778E" w:rsidP="0026778E">
      <w:pPr>
        <w:rPr>
          <w:rFonts w:ascii="Arial" w:hAnsi="Arial" w:cs="Arial"/>
        </w:rPr>
      </w:pPr>
      <w:r w:rsidRPr="0026778E">
        <w:rPr>
          <w:rFonts w:ascii="Arial" w:hAnsi="Arial" w:cs="Arial"/>
        </w:rPr>
        <w:t xml:space="preserve">___ Universal Inv. Co. v Sahara Motor Inn, Inc. </w:t>
      </w:r>
    </w:p>
    <w:p w14:paraId="7E84ADBE" w14:textId="6B34E251" w:rsidR="0026778E" w:rsidRPr="0026778E" w:rsidRDefault="0026778E" w:rsidP="0026778E">
      <w:pPr>
        <w:rPr>
          <w:rFonts w:ascii="Arial" w:hAnsi="Arial" w:cs="Arial"/>
        </w:rPr>
      </w:pPr>
      <w:r w:rsidRPr="0026778E">
        <w:rPr>
          <w:rFonts w:ascii="Arial" w:hAnsi="Arial" w:cs="Arial"/>
        </w:rPr>
        <w:lastRenderedPageBreak/>
        <w:t>___ S. Development Corp v Pima Capital Management Co.</w:t>
      </w:r>
    </w:p>
    <w:p w14:paraId="4C1DA42A" w14:textId="77777777" w:rsidR="0026778E" w:rsidRPr="0026778E" w:rsidRDefault="0026778E" w:rsidP="0026778E">
      <w:pPr>
        <w:rPr>
          <w:rFonts w:ascii="Arial" w:hAnsi="Arial" w:cs="Arial"/>
        </w:rPr>
      </w:pPr>
    </w:p>
    <w:p w14:paraId="282FC0D1" w14:textId="52C3DDFE" w:rsidR="0026778E" w:rsidRPr="00D205A9" w:rsidRDefault="0026778E" w:rsidP="0026778E">
      <w:pPr>
        <w:rPr>
          <w:rFonts w:ascii="Arial" w:hAnsi="Arial" w:cs="Arial"/>
        </w:rPr>
      </w:pPr>
      <w:r w:rsidRPr="00D205A9">
        <w:rPr>
          <w:rFonts w:ascii="Arial" w:hAnsi="Arial" w:cs="Arial"/>
        </w:rPr>
        <w:t>A.</w:t>
      </w:r>
      <w:r w:rsidRPr="00D205A9">
        <w:rPr>
          <w:rFonts w:ascii="Arial" w:hAnsi="Arial" w:cs="Arial"/>
        </w:rPr>
        <w:tab/>
      </w:r>
      <w:r w:rsidRPr="00D205A9">
        <w:rPr>
          <w:rFonts w:asciiTheme="majorHAnsi" w:hAnsiTheme="majorHAnsi" w:cstheme="majorHAnsi"/>
          <w:bCs/>
          <w:iCs/>
        </w:rPr>
        <w:t xml:space="preserve">If the buyer asks the seller about an aspect of the property, the seller has a duty to </w:t>
      </w:r>
      <w:r w:rsidR="002048ED">
        <w:rPr>
          <w:rFonts w:asciiTheme="majorHAnsi" w:hAnsiTheme="majorHAnsi" w:cstheme="majorHAnsi"/>
          <w:bCs/>
          <w:iCs/>
        </w:rPr>
        <w:tab/>
      </w:r>
      <w:r w:rsidRPr="00D205A9">
        <w:rPr>
          <w:rFonts w:asciiTheme="majorHAnsi" w:hAnsiTheme="majorHAnsi" w:cstheme="majorHAnsi"/>
          <w:bCs/>
          <w:iCs/>
        </w:rPr>
        <w:t>disclose the information</w:t>
      </w:r>
      <w:r w:rsidRPr="00D205A9">
        <w:rPr>
          <w:rFonts w:ascii="Arial" w:hAnsi="Arial" w:cs="Arial"/>
        </w:rPr>
        <w:t xml:space="preserve"> </w:t>
      </w:r>
      <w:r w:rsidRPr="00D205A9">
        <w:rPr>
          <w:rFonts w:ascii="Arial" w:hAnsi="Arial" w:cs="Arial"/>
          <w:vanish/>
          <w:color w:val="FF0000"/>
        </w:rPr>
        <w:t>(S. Development Corp v Pima Capital Management Co.)</w:t>
      </w:r>
    </w:p>
    <w:p w14:paraId="4B04D86F" w14:textId="3579629F" w:rsidR="0026778E" w:rsidRPr="00D205A9" w:rsidRDefault="0026778E" w:rsidP="0026778E">
      <w:pPr>
        <w:rPr>
          <w:rFonts w:ascii="Arial" w:hAnsi="Arial" w:cs="Arial"/>
        </w:rPr>
      </w:pPr>
      <w:r w:rsidRPr="00D205A9">
        <w:rPr>
          <w:rFonts w:ascii="Arial" w:hAnsi="Arial" w:cs="Arial"/>
        </w:rPr>
        <w:t>B.</w:t>
      </w:r>
      <w:r w:rsidRPr="00D205A9">
        <w:rPr>
          <w:rFonts w:ascii="Arial" w:hAnsi="Arial" w:cs="Arial"/>
        </w:rPr>
        <w:tab/>
      </w:r>
      <w:r w:rsidRPr="00D205A9">
        <w:rPr>
          <w:rFonts w:ascii="Arial" w:hAnsi="Arial" w:cs="Arial"/>
          <w:bCs/>
          <w:iCs/>
        </w:rPr>
        <w:t xml:space="preserve">Known latent defects in a property must be </w:t>
      </w:r>
      <w:proofErr w:type="gramStart"/>
      <w:r w:rsidRPr="00D205A9">
        <w:rPr>
          <w:rFonts w:ascii="Arial" w:hAnsi="Arial" w:cs="Arial"/>
          <w:bCs/>
          <w:iCs/>
        </w:rPr>
        <w:t xml:space="preserve">disclosed  </w:t>
      </w:r>
      <w:r w:rsidRPr="00D205A9">
        <w:rPr>
          <w:rFonts w:ascii="Arial" w:hAnsi="Arial" w:cs="Arial"/>
          <w:vanish/>
          <w:color w:val="C00000"/>
        </w:rPr>
        <w:t>(</w:t>
      </w:r>
      <w:proofErr w:type="gramEnd"/>
      <w:r w:rsidRPr="00D205A9">
        <w:rPr>
          <w:rFonts w:ascii="Arial" w:hAnsi="Arial" w:cs="Arial"/>
          <w:vanish/>
          <w:color w:val="C00000"/>
        </w:rPr>
        <w:t>S. Development Corp. v. Pima Capital Management Co)</w:t>
      </w:r>
    </w:p>
    <w:p w14:paraId="13EFF13E" w14:textId="60444386" w:rsidR="0026778E" w:rsidRPr="00D205A9" w:rsidRDefault="0026778E" w:rsidP="0026778E">
      <w:pPr>
        <w:rPr>
          <w:rFonts w:ascii="Arial" w:hAnsi="Arial" w:cs="Arial"/>
        </w:rPr>
      </w:pPr>
      <w:r w:rsidRPr="00D205A9">
        <w:rPr>
          <w:rFonts w:ascii="Arial" w:hAnsi="Arial" w:cs="Arial"/>
        </w:rPr>
        <w:t>C.</w:t>
      </w:r>
      <w:r w:rsidRPr="00D205A9">
        <w:rPr>
          <w:rFonts w:ascii="Arial" w:hAnsi="Arial" w:cs="Arial"/>
        </w:rPr>
        <w:tab/>
      </w:r>
      <w:r w:rsidR="00D205A9" w:rsidRPr="00D205A9">
        <w:rPr>
          <w:rFonts w:asciiTheme="majorHAnsi" w:hAnsiTheme="majorHAnsi" w:cstheme="majorHAnsi"/>
          <w:bCs/>
          <w:iCs/>
        </w:rPr>
        <w:t>Disclose known facts to the buyer</w:t>
      </w:r>
      <w:r w:rsidR="00D205A9" w:rsidRPr="00D205A9">
        <w:rPr>
          <w:rFonts w:ascii="Arial" w:hAnsi="Arial" w:cs="Arial"/>
        </w:rPr>
        <w:t xml:space="preserve"> </w:t>
      </w:r>
      <w:r w:rsidRPr="00D205A9">
        <w:rPr>
          <w:rFonts w:ascii="Arial" w:hAnsi="Arial" w:cs="Arial"/>
          <w:vanish/>
          <w:color w:val="FF0000"/>
        </w:rPr>
        <w:t>(</w:t>
      </w:r>
      <w:r w:rsidR="00D205A9" w:rsidRPr="00D205A9">
        <w:rPr>
          <w:rFonts w:ascii="Arial" w:hAnsi="Arial" w:cs="Arial"/>
          <w:vanish/>
          <w:color w:val="FF0000"/>
        </w:rPr>
        <w:t>Hill v Jones</w:t>
      </w:r>
      <w:r w:rsidRPr="00D205A9">
        <w:rPr>
          <w:rFonts w:ascii="Arial" w:hAnsi="Arial" w:cs="Arial"/>
          <w:vanish/>
          <w:color w:val="FF0000"/>
        </w:rPr>
        <w:t>)</w:t>
      </w:r>
    </w:p>
    <w:p w14:paraId="5807C0A5" w14:textId="77777777" w:rsidR="00561F00" w:rsidRPr="00561F00" w:rsidRDefault="00561F00" w:rsidP="00D730FD">
      <w:pPr>
        <w:rPr>
          <w:rFonts w:asciiTheme="majorHAnsi" w:hAnsiTheme="majorHAnsi" w:cstheme="majorHAnsi"/>
          <w:b/>
          <w:bCs/>
          <w:sz w:val="24"/>
          <w:szCs w:val="24"/>
        </w:rPr>
      </w:pPr>
      <w:r>
        <w:rPr>
          <w:rFonts w:asciiTheme="majorHAnsi" w:hAnsiTheme="majorHAnsi" w:cstheme="majorHAnsi"/>
          <w:b/>
          <w:bCs/>
          <w:sz w:val="24"/>
          <w:szCs w:val="24"/>
        </w:rPr>
        <w:t>Seller Property Disclosure Statement (</w:t>
      </w:r>
      <w:r w:rsidRPr="00561F00">
        <w:rPr>
          <w:rFonts w:asciiTheme="majorHAnsi" w:hAnsiTheme="majorHAnsi" w:cstheme="majorHAnsi"/>
          <w:b/>
          <w:bCs/>
          <w:sz w:val="24"/>
          <w:szCs w:val="24"/>
        </w:rPr>
        <w:t>SPDS</w:t>
      </w:r>
      <w:r>
        <w:rPr>
          <w:rFonts w:asciiTheme="majorHAnsi" w:hAnsiTheme="majorHAnsi" w:cstheme="majorHAnsi"/>
          <w:b/>
          <w:bCs/>
          <w:sz w:val="24"/>
          <w:szCs w:val="24"/>
        </w:rPr>
        <w:t>)</w:t>
      </w:r>
    </w:p>
    <w:p w14:paraId="3C764E63"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You have a seller that doesn’t want to fill out the SPDS, how do you explain to them the value in completing the form?</w:t>
      </w:r>
    </w:p>
    <w:p w14:paraId="21A9FAA4" w14:textId="77777777" w:rsidR="00B55FF8" w:rsidRDefault="00B55FF8" w:rsidP="00D730FD">
      <w:pPr>
        <w:rPr>
          <w:rFonts w:asciiTheme="majorHAnsi" w:hAnsiTheme="majorHAnsi" w:cstheme="majorHAnsi"/>
          <w:sz w:val="24"/>
          <w:szCs w:val="24"/>
        </w:rPr>
      </w:pPr>
    </w:p>
    <w:p w14:paraId="110134C8" w14:textId="0C14AF2A"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Does filling out he SPDS relieve the seller of any obligation to disclose material facts?</w:t>
      </w:r>
    </w:p>
    <w:p w14:paraId="76528FE7" w14:textId="77777777" w:rsidR="00B55FF8" w:rsidRDefault="00B55FF8" w:rsidP="00D730FD">
      <w:pPr>
        <w:rPr>
          <w:rFonts w:asciiTheme="majorHAnsi" w:hAnsiTheme="majorHAnsi" w:cstheme="majorHAnsi"/>
          <w:sz w:val="24"/>
          <w:szCs w:val="24"/>
        </w:rPr>
      </w:pPr>
    </w:p>
    <w:p w14:paraId="58679A69"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 you review the SPDS after the seller has filled it out?</w:t>
      </w:r>
    </w:p>
    <w:p w14:paraId="199B93FA" w14:textId="77777777" w:rsidR="00B55FF8" w:rsidRDefault="00B55FF8" w:rsidP="00D730FD">
      <w:pPr>
        <w:rPr>
          <w:rFonts w:asciiTheme="majorHAnsi" w:hAnsiTheme="majorHAnsi" w:cstheme="majorHAnsi"/>
          <w:sz w:val="24"/>
          <w:szCs w:val="24"/>
        </w:rPr>
      </w:pPr>
    </w:p>
    <w:p w14:paraId="00888B88"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Do you review the SPDS when it is sent to your buyer, as a buyer agent?</w:t>
      </w:r>
    </w:p>
    <w:p w14:paraId="115D8C3E" w14:textId="77777777" w:rsidR="00B55FF8" w:rsidRDefault="00B55FF8" w:rsidP="00D730FD">
      <w:pPr>
        <w:rPr>
          <w:rFonts w:asciiTheme="majorHAnsi" w:hAnsiTheme="majorHAnsi" w:cstheme="majorHAnsi"/>
          <w:sz w:val="24"/>
          <w:szCs w:val="24"/>
        </w:rPr>
      </w:pPr>
    </w:p>
    <w:p w14:paraId="4CD9E3F7"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is your obligation, if any, to disclose a red flag item if the seller refuses to and tells you not to disclose it?</w:t>
      </w:r>
    </w:p>
    <w:p w14:paraId="5E0B5DF9" w14:textId="77777777" w:rsidR="00B55FF8" w:rsidRDefault="00B55FF8" w:rsidP="00D730FD">
      <w:pPr>
        <w:rPr>
          <w:rFonts w:asciiTheme="majorHAnsi" w:hAnsiTheme="majorHAnsi" w:cstheme="majorHAnsi"/>
          <w:sz w:val="24"/>
          <w:szCs w:val="24"/>
        </w:rPr>
      </w:pPr>
    </w:p>
    <w:p w14:paraId="7520F684"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If seller hasn’t seen the property, what part of the SPDS CAN they fill out?</w:t>
      </w:r>
    </w:p>
    <w:p w14:paraId="0C9E16B9" w14:textId="77777777" w:rsidR="00B55FF8" w:rsidRDefault="00B55FF8" w:rsidP="00D730FD">
      <w:pPr>
        <w:rPr>
          <w:rFonts w:asciiTheme="majorHAnsi" w:hAnsiTheme="majorHAnsi" w:cstheme="majorHAnsi"/>
          <w:sz w:val="24"/>
          <w:szCs w:val="24"/>
        </w:rPr>
      </w:pPr>
    </w:p>
    <w:p w14:paraId="27DA78EC"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if it is an estate sale?</w:t>
      </w:r>
    </w:p>
    <w:p w14:paraId="035DB4AE" w14:textId="77777777" w:rsidR="00B55FF8" w:rsidRDefault="00B55FF8" w:rsidP="00D730FD">
      <w:pPr>
        <w:rPr>
          <w:rFonts w:asciiTheme="majorHAnsi" w:hAnsiTheme="majorHAnsi" w:cstheme="majorHAnsi"/>
          <w:sz w:val="24"/>
          <w:szCs w:val="24"/>
        </w:rPr>
      </w:pPr>
    </w:p>
    <w:p w14:paraId="3CE91A81"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What do you do if you don’t receive a SPDS?</w:t>
      </w:r>
    </w:p>
    <w:p w14:paraId="55AA8F8B" w14:textId="77777777" w:rsidR="00B55FF8" w:rsidRDefault="00B55FF8" w:rsidP="00D730FD">
      <w:pPr>
        <w:rPr>
          <w:rFonts w:asciiTheme="majorHAnsi" w:hAnsiTheme="majorHAnsi" w:cstheme="majorHAnsi"/>
          <w:sz w:val="24"/>
          <w:szCs w:val="24"/>
        </w:rPr>
      </w:pPr>
    </w:p>
    <w:p w14:paraId="0B51A8AE" w14:textId="082F384D" w:rsidR="00B55FF8" w:rsidRDefault="00B55FF8" w:rsidP="00D730FD">
      <w:pPr>
        <w:rPr>
          <w:rFonts w:asciiTheme="majorHAnsi" w:hAnsiTheme="majorHAnsi" w:cstheme="majorHAnsi"/>
          <w:sz w:val="24"/>
          <w:szCs w:val="24"/>
        </w:rPr>
      </w:pPr>
      <w:r>
        <w:rPr>
          <w:rFonts w:asciiTheme="majorHAnsi" w:hAnsiTheme="majorHAnsi" w:cstheme="majorHAnsi"/>
          <w:sz w:val="24"/>
          <w:szCs w:val="24"/>
        </w:rPr>
        <w:t xml:space="preserve">What do “flippers” need to disclose? </w:t>
      </w:r>
      <w:r w:rsidR="007B69CC">
        <w:rPr>
          <w:rFonts w:asciiTheme="majorHAnsi" w:hAnsiTheme="majorHAnsi" w:cstheme="majorHAnsi"/>
          <w:sz w:val="24"/>
          <w:szCs w:val="24"/>
        </w:rPr>
        <w:t xml:space="preserve">  </w:t>
      </w:r>
      <w:r w:rsidR="007B69CC" w:rsidRPr="007B69CC">
        <w:rPr>
          <w:rFonts w:asciiTheme="majorHAnsi" w:hAnsiTheme="majorHAnsi" w:cstheme="majorHAnsi"/>
          <w:vanish/>
          <w:color w:val="FF0000"/>
          <w:sz w:val="24"/>
          <w:szCs w:val="24"/>
        </w:rPr>
        <w:t>Licensed contractors</w:t>
      </w:r>
    </w:p>
    <w:p w14:paraId="56C0E53D" w14:textId="77777777" w:rsidR="00561F00" w:rsidRDefault="00561F00" w:rsidP="00D730FD">
      <w:pPr>
        <w:rPr>
          <w:rFonts w:asciiTheme="majorHAnsi" w:hAnsiTheme="majorHAnsi" w:cstheme="majorHAnsi"/>
          <w:sz w:val="24"/>
          <w:szCs w:val="24"/>
        </w:rPr>
      </w:pPr>
    </w:p>
    <w:p w14:paraId="412740AF" w14:textId="77777777" w:rsidR="00561F00" w:rsidRPr="00561F00" w:rsidRDefault="00561F00" w:rsidP="00D730FD">
      <w:pPr>
        <w:rPr>
          <w:rFonts w:asciiTheme="majorHAnsi" w:hAnsiTheme="majorHAnsi" w:cstheme="majorHAnsi"/>
          <w:b/>
          <w:bCs/>
          <w:sz w:val="24"/>
          <w:szCs w:val="24"/>
        </w:rPr>
      </w:pPr>
      <w:r w:rsidRPr="00561F00">
        <w:rPr>
          <w:rFonts w:asciiTheme="majorHAnsi" w:hAnsiTheme="majorHAnsi" w:cstheme="majorHAnsi"/>
          <w:b/>
          <w:bCs/>
          <w:sz w:val="24"/>
          <w:szCs w:val="24"/>
        </w:rPr>
        <w:t>Disclosure – Multiple Offers</w:t>
      </w:r>
      <w:r>
        <w:rPr>
          <w:rFonts w:asciiTheme="majorHAnsi" w:hAnsiTheme="majorHAnsi" w:cstheme="majorHAnsi"/>
          <w:b/>
          <w:bCs/>
          <w:sz w:val="24"/>
          <w:szCs w:val="24"/>
        </w:rPr>
        <w:t>/Back-Up Offers</w:t>
      </w:r>
    </w:p>
    <w:p w14:paraId="19E94627" w14:textId="77777777" w:rsidR="00561F00" w:rsidRDefault="00561F00" w:rsidP="00D730FD">
      <w:pPr>
        <w:rPr>
          <w:rFonts w:asciiTheme="majorHAnsi" w:hAnsiTheme="majorHAnsi" w:cstheme="majorHAnsi"/>
          <w:sz w:val="24"/>
          <w:szCs w:val="24"/>
        </w:rPr>
      </w:pPr>
      <w:r>
        <w:rPr>
          <w:rFonts w:asciiTheme="majorHAnsi" w:hAnsiTheme="majorHAnsi" w:cstheme="majorHAnsi"/>
          <w:sz w:val="24"/>
          <w:szCs w:val="24"/>
        </w:rPr>
        <w:t>When can you disclose you are in a multiple offer situation?</w:t>
      </w:r>
    </w:p>
    <w:p w14:paraId="25351213" w14:textId="2D330AAB" w:rsidR="00561F00" w:rsidRPr="007B69CC" w:rsidRDefault="007B69CC" w:rsidP="00D730FD">
      <w:pPr>
        <w:rPr>
          <w:rFonts w:asciiTheme="majorHAnsi" w:hAnsiTheme="majorHAnsi" w:cstheme="majorHAnsi"/>
          <w:vanish/>
          <w:color w:val="4F81BD" w:themeColor="accent1"/>
          <w:sz w:val="24"/>
          <w:szCs w:val="24"/>
        </w:rPr>
      </w:pPr>
      <w:r w:rsidRPr="007B69CC">
        <w:rPr>
          <w:rFonts w:asciiTheme="majorHAnsi" w:hAnsiTheme="majorHAnsi" w:cstheme="majorHAnsi"/>
          <w:vanish/>
          <w:color w:val="4F81BD" w:themeColor="accent1"/>
          <w:sz w:val="24"/>
          <w:szCs w:val="24"/>
        </w:rPr>
        <w:t>ZOOM:  Using chat:  What form is used for sellers to give you written instruction on accepting only written offers and/or to take back up offers.</w:t>
      </w:r>
      <w:r>
        <w:rPr>
          <w:rFonts w:asciiTheme="majorHAnsi" w:hAnsiTheme="majorHAnsi" w:cstheme="majorHAnsi"/>
          <w:vanish/>
          <w:color w:val="4F81BD" w:themeColor="accent1"/>
          <w:sz w:val="24"/>
          <w:szCs w:val="24"/>
        </w:rPr>
        <w:t xml:space="preserve">   </w:t>
      </w:r>
      <w:r w:rsidRPr="007B69CC">
        <w:rPr>
          <w:rFonts w:asciiTheme="majorHAnsi" w:hAnsiTheme="majorHAnsi" w:cstheme="majorHAnsi"/>
          <w:vanish/>
          <w:color w:val="FF0000"/>
          <w:sz w:val="24"/>
          <w:szCs w:val="24"/>
        </w:rPr>
        <w:t>Possible answers: ER, EA, written email instructions or text – emphasize it just must be in written format</w:t>
      </w:r>
    </w:p>
    <w:p w14:paraId="118138C9" w14:textId="77777777" w:rsidR="00E257D7" w:rsidRPr="00802649" w:rsidRDefault="00E257D7" w:rsidP="00D730FD">
      <w:pPr>
        <w:rPr>
          <w:rFonts w:asciiTheme="majorHAnsi" w:hAnsiTheme="majorHAnsi" w:cstheme="majorHAnsi"/>
          <w:sz w:val="24"/>
          <w:szCs w:val="24"/>
        </w:rPr>
      </w:pPr>
    </w:p>
    <w:p w14:paraId="256C25EE"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40F7D186" w14:textId="77777777" w:rsidR="00E257D7" w:rsidRPr="00A27310" w:rsidRDefault="00E257D7" w:rsidP="00D13E77">
      <w:pPr>
        <w:pStyle w:val="Heading1"/>
        <w:rPr>
          <w:rFonts w:asciiTheme="majorHAnsi" w:hAnsiTheme="majorHAnsi" w:cstheme="majorHAnsi"/>
          <w:color w:val="auto"/>
          <w:sz w:val="32"/>
          <w:szCs w:val="32"/>
        </w:rPr>
      </w:pPr>
      <w:bookmarkStart w:id="23" w:name="_Toc65239068"/>
      <w:r w:rsidRPr="00A27310">
        <w:rPr>
          <w:rFonts w:asciiTheme="majorHAnsi" w:hAnsiTheme="majorHAnsi" w:cstheme="majorHAnsi"/>
          <w:color w:val="auto"/>
          <w:sz w:val="32"/>
          <w:szCs w:val="32"/>
        </w:rPr>
        <w:lastRenderedPageBreak/>
        <w:t>Unit 1, Segment 3: Buyer Disclosures</w:t>
      </w:r>
      <w:bookmarkEnd w:id="23"/>
    </w:p>
    <w:p w14:paraId="7E2DCA65" w14:textId="77777777" w:rsidR="00E257D7" w:rsidRPr="00802649" w:rsidRDefault="00E257D7" w:rsidP="00D13E77">
      <w:pPr>
        <w:rPr>
          <w:rFonts w:asciiTheme="majorHAnsi" w:hAnsiTheme="majorHAnsi" w:cstheme="majorHAnsi"/>
          <w:sz w:val="24"/>
          <w:szCs w:val="24"/>
        </w:rPr>
      </w:pPr>
    </w:p>
    <w:p w14:paraId="3DBA7C94" w14:textId="77777777" w:rsidR="00E257D7" w:rsidRPr="00A27310" w:rsidRDefault="00E257D7" w:rsidP="00D13E77">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15 minutes total for this segment</w:t>
      </w:r>
    </w:p>
    <w:p w14:paraId="364A0538" w14:textId="77777777"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0B70BCF" w14:textId="77777777" w:rsidR="00E257D7" w:rsidRPr="00802649" w:rsidRDefault="00E257D7" w:rsidP="00D13E77">
      <w:pPr>
        <w:pStyle w:val="ListParagraph"/>
        <w:numPr>
          <w:ilvl w:val="0"/>
          <w:numId w:val="1"/>
        </w:numPr>
        <w:rPr>
          <w:rFonts w:asciiTheme="majorHAnsi" w:hAnsiTheme="majorHAnsi" w:cstheme="majorHAnsi"/>
          <w:sz w:val="24"/>
          <w:szCs w:val="24"/>
        </w:rPr>
      </w:pPr>
      <w:r w:rsidRPr="00802649">
        <w:rPr>
          <w:rFonts w:asciiTheme="majorHAnsi" w:hAnsiTheme="majorHAnsi" w:cstheme="majorHAnsi"/>
          <w:sz w:val="24"/>
          <w:szCs w:val="24"/>
        </w:rPr>
        <w:t>To identify items required to be disclosed by buyers in a transaction.</w:t>
      </w:r>
    </w:p>
    <w:p w14:paraId="194CF592" w14:textId="77777777" w:rsidR="00E257D7" w:rsidRPr="00802649" w:rsidRDefault="00E257D7" w:rsidP="00D13E77">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buyers failing to make the required disclosures?</w:t>
      </w:r>
    </w:p>
    <w:p w14:paraId="38758EB2"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Failure to fulfill contractual obligations</w:t>
      </w:r>
    </w:p>
    <w:p w14:paraId="10F02666"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Civil penalties</w:t>
      </w:r>
    </w:p>
    <w:p w14:paraId="67FDC176" w14:textId="77777777" w:rsidR="00E257D7" w:rsidRPr="00A27310" w:rsidRDefault="00E257D7" w:rsidP="00A27310">
      <w:pPr>
        <w:pStyle w:val="ListParagraph"/>
        <w:numPr>
          <w:ilvl w:val="0"/>
          <w:numId w:val="1"/>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31C0A9A9" w14:textId="77777777" w:rsidR="00FC71B5" w:rsidRPr="00FC71B5" w:rsidRDefault="00FC71B5" w:rsidP="00FC71B5">
      <w:pPr>
        <w:rPr>
          <w:rFonts w:asciiTheme="majorHAnsi" w:hAnsiTheme="majorHAnsi" w:cstheme="majorHAnsi"/>
          <w:sz w:val="24"/>
          <w:szCs w:val="24"/>
        </w:rPr>
      </w:pPr>
      <w:r w:rsidRPr="00FC71B5">
        <w:rPr>
          <w:rFonts w:asciiTheme="majorHAnsi" w:hAnsiTheme="majorHAnsi" w:cstheme="majorHAnsi"/>
          <w:sz w:val="24"/>
          <w:szCs w:val="24"/>
        </w:rPr>
        <w:t>_________________________________________________________________</w:t>
      </w:r>
    </w:p>
    <w:p w14:paraId="1BBFDE03"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2AB4D5C9" w14:textId="77777777" w:rsidR="00FC71B5" w:rsidRPr="00802649" w:rsidRDefault="00FC71B5" w:rsidP="00FC71B5">
      <w:pPr>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w:t>
      </w:r>
    </w:p>
    <w:p w14:paraId="0CF3C4BB" w14:textId="77777777" w:rsidR="00E257D7" w:rsidRPr="00802649" w:rsidRDefault="00E257D7" w:rsidP="00862BA2">
      <w:pPr>
        <w:rPr>
          <w:rFonts w:asciiTheme="majorHAnsi" w:hAnsiTheme="majorHAnsi" w:cstheme="majorHAnsi"/>
          <w:sz w:val="24"/>
          <w:szCs w:val="24"/>
        </w:rPr>
      </w:pPr>
    </w:p>
    <w:p w14:paraId="636287B8"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Buyer Disclosures</w:t>
      </w:r>
    </w:p>
    <w:p w14:paraId="55FD9428"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Because the major consideration flowing from the buyer to the seller is price, the buyer’s legally and contractually required disclosures generally center around their ability to perform on the contract.  Buyer disclosures include:</w:t>
      </w:r>
    </w:p>
    <w:p w14:paraId="7C299519"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known facts materially affecting the transaction</w:t>
      </w:r>
    </w:p>
    <w:p w14:paraId="6249E6BA" w14:textId="77777777" w:rsidR="00E257D7" w:rsidRPr="00802649" w:rsidRDefault="00E257D7" w:rsidP="00862BA2">
      <w:pPr>
        <w:pStyle w:val="ListParagraph"/>
        <w:rPr>
          <w:rFonts w:asciiTheme="majorHAnsi" w:hAnsiTheme="majorHAnsi" w:cstheme="majorHAnsi"/>
          <w:sz w:val="24"/>
          <w:szCs w:val="24"/>
        </w:rPr>
      </w:pPr>
    </w:p>
    <w:p w14:paraId="48255725" w14:textId="77777777" w:rsidR="00E257D7" w:rsidRPr="00802649" w:rsidRDefault="00E257D7" w:rsidP="00862BA2">
      <w:pPr>
        <w:pStyle w:val="ListParagraph"/>
        <w:rPr>
          <w:rFonts w:asciiTheme="majorHAnsi" w:hAnsiTheme="majorHAnsi" w:cstheme="majorHAnsi"/>
          <w:sz w:val="24"/>
          <w:szCs w:val="24"/>
        </w:rPr>
      </w:pPr>
    </w:p>
    <w:p w14:paraId="5B8CFDA8"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materially affecting the buyer’s ability to pay the purchase price</w:t>
      </w:r>
    </w:p>
    <w:p w14:paraId="4AEC005B" w14:textId="77777777" w:rsidR="00E257D7" w:rsidRPr="00802649" w:rsidRDefault="00E257D7" w:rsidP="00862BA2">
      <w:pPr>
        <w:pStyle w:val="ListParagraph"/>
        <w:rPr>
          <w:rFonts w:asciiTheme="majorHAnsi" w:hAnsiTheme="majorHAnsi" w:cstheme="majorHAnsi"/>
          <w:sz w:val="24"/>
          <w:szCs w:val="24"/>
        </w:rPr>
      </w:pPr>
    </w:p>
    <w:p w14:paraId="5AD6733B" w14:textId="77777777" w:rsidR="00E257D7" w:rsidRPr="00802649" w:rsidRDefault="00E257D7" w:rsidP="00862BA2">
      <w:pPr>
        <w:pStyle w:val="ListParagraph"/>
        <w:rPr>
          <w:rFonts w:asciiTheme="majorHAnsi" w:hAnsiTheme="majorHAnsi" w:cstheme="majorHAnsi"/>
          <w:sz w:val="24"/>
          <w:szCs w:val="24"/>
        </w:rPr>
      </w:pPr>
    </w:p>
    <w:p w14:paraId="700F85E8" w14:textId="77777777" w:rsidR="00E257D7" w:rsidRPr="00802649" w:rsidRDefault="00E257D7" w:rsidP="003120B8">
      <w:pPr>
        <w:pStyle w:val="ListParagraph"/>
        <w:numPr>
          <w:ilvl w:val="0"/>
          <w:numId w:val="16"/>
        </w:numPr>
        <w:rPr>
          <w:rFonts w:asciiTheme="majorHAnsi" w:hAnsiTheme="majorHAnsi" w:cstheme="majorHAnsi"/>
          <w:sz w:val="24"/>
          <w:szCs w:val="24"/>
        </w:rPr>
      </w:pPr>
      <w:r w:rsidRPr="00802649">
        <w:rPr>
          <w:rFonts w:asciiTheme="majorHAnsi" w:hAnsiTheme="majorHAnsi" w:cstheme="majorHAnsi"/>
          <w:sz w:val="24"/>
          <w:szCs w:val="24"/>
        </w:rPr>
        <w:t>All facts critical to their ability to perform, such as if the buyer:</w:t>
      </w:r>
    </w:p>
    <w:p w14:paraId="1E910F91" w14:textId="77777777" w:rsidR="00E257D7" w:rsidRPr="00802649" w:rsidRDefault="00E257D7" w:rsidP="00862BA2">
      <w:pPr>
        <w:pStyle w:val="ListParagraph"/>
        <w:rPr>
          <w:rFonts w:asciiTheme="majorHAnsi" w:hAnsiTheme="majorHAnsi" w:cstheme="majorHAnsi"/>
          <w:sz w:val="24"/>
          <w:szCs w:val="24"/>
        </w:rPr>
      </w:pPr>
    </w:p>
    <w:p w14:paraId="3E0EF1F0"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sell their existing home or other property to qualify for financing</w:t>
      </w:r>
    </w:p>
    <w:p w14:paraId="5E6449DF"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lease a property to qualify for financing</w:t>
      </w:r>
    </w:p>
    <w:p w14:paraId="4872C701"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Must complete a sale before the funds for the down payment will be available</w:t>
      </w:r>
    </w:p>
    <w:p w14:paraId="764946C7" w14:textId="77777777" w:rsidR="00E257D7" w:rsidRPr="00A27310" w:rsidRDefault="00E257D7" w:rsidP="003120B8">
      <w:pPr>
        <w:pStyle w:val="ListParagraph"/>
        <w:numPr>
          <w:ilvl w:val="0"/>
          <w:numId w:val="16"/>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Has filed bankruptcy</w:t>
      </w:r>
    </w:p>
    <w:p w14:paraId="742D4331" w14:textId="61025B81" w:rsidR="00E257D7" w:rsidRDefault="007B69CC" w:rsidP="00862BA2">
      <w:pPr>
        <w:rPr>
          <w:rFonts w:asciiTheme="majorHAnsi" w:hAnsiTheme="majorHAnsi" w:cstheme="majorHAnsi"/>
          <w:vanish/>
          <w:color w:val="FF0000"/>
          <w:sz w:val="24"/>
          <w:szCs w:val="24"/>
        </w:rPr>
      </w:pPr>
      <w:r w:rsidRPr="007B69CC">
        <w:rPr>
          <w:rFonts w:asciiTheme="majorHAnsi" w:hAnsiTheme="majorHAnsi" w:cstheme="majorHAnsi"/>
          <w:vanish/>
          <w:color w:val="FF0000"/>
          <w:sz w:val="24"/>
          <w:szCs w:val="24"/>
        </w:rPr>
        <w:t xml:space="preserve">What needs, if anything, needs to be disclosed for </w:t>
      </w:r>
      <w:proofErr w:type="spellStart"/>
      <w:r w:rsidRPr="007B69CC">
        <w:rPr>
          <w:rFonts w:asciiTheme="majorHAnsi" w:hAnsiTheme="majorHAnsi" w:cstheme="majorHAnsi"/>
          <w:vanish/>
          <w:color w:val="FF0000"/>
          <w:sz w:val="24"/>
          <w:szCs w:val="24"/>
        </w:rPr>
        <w:t>site</w:t>
      </w:r>
      <w:proofErr w:type="spellEnd"/>
      <w:r w:rsidRPr="007B69CC">
        <w:rPr>
          <w:rFonts w:asciiTheme="majorHAnsi" w:hAnsiTheme="majorHAnsi" w:cstheme="majorHAnsi"/>
          <w:vanish/>
          <w:color w:val="FF0000"/>
          <w:sz w:val="24"/>
          <w:szCs w:val="24"/>
        </w:rPr>
        <w:t xml:space="preserve"> unseen offers?</w:t>
      </w:r>
    </w:p>
    <w:p w14:paraId="327D4D37" w14:textId="67864706" w:rsidR="007B69CC" w:rsidRPr="007B69CC" w:rsidRDefault="007B69CC" w:rsidP="00862BA2">
      <w:pPr>
        <w:rPr>
          <w:rFonts w:asciiTheme="majorHAnsi" w:hAnsiTheme="majorHAnsi" w:cstheme="majorHAnsi"/>
          <w:vanish/>
          <w:color w:val="FF0000"/>
          <w:sz w:val="24"/>
          <w:szCs w:val="24"/>
        </w:rPr>
      </w:pPr>
      <w:r>
        <w:rPr>
          <w:rFonts w:asciiTheme="majorHAnsi" w:hAnsiTheme="majorHAnsi" w:cstheme="majorHAnsi"/>
          <w:vanish/>
          <w:color w:val="FF0000"/>
          <w:sz w:val="24"/>
          <w:szCs w:val="24"/>
        </w:rPr>
        <w:lastRenderedPageBreak/>
        <w:t>Does buyer have to disclose they are making more than offer?</w:t>
      </w:r>
    </w:p>
    <w:p w14:paraId="0777953B"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11A4B79A" w14:textId="77777777" w:rsidR="00E257D7" w:rsidRPr="00D71EE4" w:rsidRDefault="002A3508" w:rsidP="00862BA2">
      <w:pPr>
        <w:pStyle w:val="Heading1"/>
        <w:rPr>
          <w:rFonts w:asciiTheme="majorHAnsi" w:hAnsiTheme="majorHAnsi" w:cstheme="majorHAnsi"/>
          <w:color w:val="auto"/>
          <w:sz w:val="32"/>
          <w:szCs w:val="32"/>
        </w:rPr>
      </w:pPr>
      <w:bookmarkStart w:id="24" w:name="_Toc65239069"/>
      <w:r w:rsidRPr="00D71EE4">
        <w:rPr>
          <w:rFonts w:asciiTheme="majorHAnsi" w:hAnsiTheme="majorHAnsi" w:cstheme="majorHAnsi"/>
          <w:color w:val="auto"/>
          <w:sz w:val="32"/>
          <w:szCs w:val="32"/>
        </w:rPr>
        <w:lastRenderedPageBreak/>
        <w:t>Un</w:t>
      </w:r>
      <w:r w:rsidR="00E257D7" w:rsidRPr="00D71EE4">
        <w:rPr>
          <w:rFonts w:asciiTheme="majorHAnsi" w:hAnsiTheme="majorHAnsi" w:cstheme="majorHAnsi"/>
          <w:color w:val="auto"/>
          <w:sz w:val="32"/>
          <w:szCs w:val="32"/>
        </w:rPr>
        <w:t>it 1, Segment 4: Statutory Disclosures</w:t>
      </w:r>
      <w:bookmarkEnd w:id="24"/>
    </w:p>
    <w:p w14:paraId="77244723" w14:textId="77777777" w:rsidR="00E257D7" w:rsidRPr="00802649" w:rsidRDefault="00E257D7" w:rsidP="00862BA2">
      <w:pPr>
        <w:rPr>
          <w:rFonts w:asciiTheme="majorHAnsi" w:hAnsiTheme="majorHAnsi" w:cstheme="majorHAnsi"/>
          <w:sz w:val="24"/>
          <w:szCs w:val="24"/>
        </w:rPr>
      </w:pPr>
    </w:p>
    <w:p w14:paraId="45CA12C2" w14:textId="77777777"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Timing: 60 minutes total for this segment</w:t>
      </w:r>
    </w:p>
    <w:p w14:paraId="743E7EDB"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1C95845B"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specific disclosures required by Arizona statutes in accordance with federal regulations</w:t>
      </w:r>
    </w:p>
    <w:p w14:paraId="2F036702"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statutory disclosures?</w:t>
      </w:r>
    </w:p>
    <w:p w14:paraId="30938A4C"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14:paraId="272D65E5"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 xml:space="preserve">Civil liability </w:t>
      </w:r>
    </w:p>
    <w:p w14:paraId="13AAC555" w14:textId="77777777" w:rsidR="00E257D7" w:rsidRPr="00A27310" w:rsidRDefault="00E257D7" w:rsidP="003120B8">
      <w:pPr>
        <w:pStyle w:val="ListParagraph"/>
        <w:numPr>
          <w:ilvl w:val="0"/>
          <w:numId w:val="32"/>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Others:</w:t>
      </w:r>
    </w:p>
    <w:p w14:paraId="1960F7C4" w14:textId="77777777" w:rsidR="00E257D7" w:rsidRPr="00802649" w:rsidRDefault="00E257D7" w:rsidP="00862BA2">
      <w:pPr>
        <w:rPr>
          <w:rFonts w:asciiTheme="majorHAnsi" w:hAnsiTheme="majorHAnsi" w:cstheme="majorHAnsi"/>
          <w:color w:val="FF0000"/>
          <w:sz w:val="24"/>
          <w:szCs w:val="24"/>
        </w:rPr>
      </w:pPr>
    </w:p>
    <w:p w14:paraId="380DE249" w14:textId="77777777" w:rsidR="00E257D7" w:rsidRPr="00802649" w:rsidRDefault="00E257D7" w:rsidP="00862BA2">
      <w:pPr>
        <w:rPr>
          <w:rFonts w:asciiTheme="majorHAnsi" w:hAnsiTheme="majorHAnsi" w:cstheme="majorHAnsi"/>
          <w:color w:val="FF0000"/>
          <w:sz w:val="24"/>
          <w:szCs w:val="24"/>
        </w:rPr>
      </w:pPr>
    </w:p>
    <w:p w14:paraId="07AEDA5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Specific Disclosures</w:t>
      </w:r>
    </w:p>
    <w:p w14:paraId="59FA406C"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Several specific disclosures are required by statute.  They are:</w:t>
      </w:r>
    </w:p>
    <w:p w14:paraId="708657C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Lead-based Paint Disclosure</w:t>
      </w:r>
    </w:p>
    <w:p w14:paraId="6CE19639" w14:textId="77777777"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Required in transactions involving properties constructed prior to 1978.</w:t>
      </w:r>
    </w:p>
    <w:p w14:paraId="254D0683" w14:textId="77777777" w:rsidR="00E257D7" w:rsidRPr="00802649" w:rsidRDefault="00E257D7" w:rsidP="00862BA2">
      <w:pPr>
        <w:pStyle w:val="ListParagraph"/>
        <w:rPr>
          <w:rFonts w:asciiTheme="majorHAnsi" w:hAnsiTheme="majorHAnsi" w:cstheme="majorHAnsi"/>
          <w:sz w:val="24"/>
          <w:szCs w:val="24"/>
        </w:rPr>
      </w:pPr>
    </w:p>
    <w:p w14:paraId="16FFA888" w14:textId="77777777" w:rsidR="00E257D7" w:rsidRPr="00802649" w:rsidRDefault="00E257D7" w:rsidP="003120B8">
      <w:pPr>
        <w:pStyle w:val="ListParagraph"/>
        <w:numPr>
          <w:ilvl w:val="0"/>
          <w:numId w:val="18"/>
        </w:numPr>
        <w:rPr>
          <w:rFonts w:asciiTheme="majorHAnsi" w:hAnsiTheme="majorHAnsi" w:cstheme="majorHAnsi"/>
          <w:sz w:val="24"/>
          <w:szCs w:val="24"/>
        </w:rPr>
      </w:pPr>
      <w:r w:rsidRPr="00802649">
        <w:rPr>
          <w:rFonts w:asciiTheme="majorHAnsi" w:hAnsiTheme="majorHAnsi" w:cstheme="majorHAnsi"/>
          <w:sz w:val="24"/>
          <w:szCs w:val="24"/>
        </w:rPr>
        <w:t>Before the buyer is obligated under any contract to purchase the property, the seller must:</w:t>
      </w:r>
    </w:p>
    <w:p w14:paraId="68F1342F" w14:textId="77777777" w:rsidR="00E257D7" w:rsidRPr="00802649" w:rsidRDefault="00E257D7" w:rsidP="00862BA2">
      <w:pPr>
        <w:pStyle w:val="ListParagraph"/>
        <w:rPr>
          <w:rFonts w:asciiTheme="majorHAnsi" w:hAnsiTheme="majorHAnsi" w:cstheme="majorHAnsi"/>
          <w:sz w:val="24"/>
          <w:szCs w:val="24"/>
        </w:rPr>
      </w:pPr>
    </w:p>
    <w:p w14:paraId="086BD38F"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Provide the lead hazard pamphlet.</w:t>
      </w:r>
    </w:p>
    <w:p w14:paraId="2B9FB851"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Disclose any information concerning known hazards.</w:t>
      </w:r>
    </w:p>
    <w:p w14:paraId="296ECB14"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 xml:space="preserve">Provide any available records or reports concerning lead-based paint. </w:t>
      </w:r>
    </w:p>
    <w:p w14:paraId="1A7174F7" w14:textId="77777777" w:rsidR="00E257D7" w:rsidRPr="00802649" w:rsidRDefault="00E257D7" w:rsidP="003120B8">
      <w:pPr>
        <w:pStyle w:val="ListParagraph"/>
        <w:numPr>
          <w:ilvl w:val="0"/>
          <w:numId w:val="19"/>
        </w:numPr>
        <w:rPr>
          <w:rFonts w:asciiTheme="majorHAnsi" w:hAnsiTheme="majorHAnsi" w:cstheme="majorHAnsi"/>
          <w:sz w:val="24"/>
          <w:szCs w:val="24"/>
        </w:rPr>
      </w:pPr>
      <w:r w:rsidRPr="00802649">
        <w:rPr>
          <w:rFonts w:asciiTheme="majorHAnsi" w:hAnsiTheme="majorHAnsi" w:cstheme="majorHAnsi"/>
          <w:sz w:val="24"/>
          <w:szCs w:val="24"/>
        </w:rPr>
        <w:t>Permit the buyers with an opportunity to conduct a lead-based paint risk assessment or inspection.</w:t>
      </w:r>
    </w:p>
    <w:p w14:paraId="0DA0F223" w14:textId="77777777" w:rsidR="00E257D7" w:rsidRPr="00802649" w:rsidRDefault="00E257D7" w:rsidP="00862BA2">
      <w:pPr>
        <w:pStyle w:val="ListParagraph"/>
        <w:ind w:left="1485"/>
        <w:rPr>
          <w:rFonts w:asciiTheme="majorHAnsi" w:hAnsiTheme="majorHAnsi" w:cstheme="majorHAnsi"/>
          <w:sz w:val="24"/>
          <w:szCs w:val="24"/>
        </w:rPr>
      </w:pPr>
    </w:p>
    <w:p w14:paraId="7275EA59"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Contracts on homes constructed before 1978 must contain certain language and disclosures to satisfy the statutory requirements.  The AAR Disclosure of Information on Lead-based Paint Hazards form may be used for this purpose.</w:t>
      </w:r>
    </w:p>
    <w:p w14:paraId="30AC5D08" w14:textId="43D2DC2F"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specific risks are addressed by the LBP Disclosure?</w:t>
      </w:r>
    </w:p>
    <w:p w14:paraId="5F79C9C1" w14:textId="77777777"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Regulatory sanctions</w:t>
      </w:r>
    </w:p>
    <w:p w14:paraId="5E3DE6C0" w14:textId="77777777" w:rsidR="00E257D7" w:rsidRPr="00A27310" w:rsidRDefault="00E257D7" w:rsidP="003120B8">
      <w:pPr>
        <w:pStyle w:val="ListParagraph"/>
        <w:numPr>
          <w:ilvl w:val="0"/>
          <w:numId w:val="33"/>
        </w:num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lastRenderedPageBreak/>
        <w:t>Possible criminal sanctions</w:t>
      </w:r>
    </w:p>
    <w:p w14:paraId="34A2C16F" w14:textId="0EECE6F0" w:rsidR="00FC71B5" w:rsidRDefault="00FC71B5">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07CA3456" w14:textId="62E3A154"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Can the LBP Disclosure be completed after contract acceptance?</w:t>
      </w:r>
    </w:p>
    <w:p w14:paraId="73467FE3" w14:textId="77777777" w:rsidR="00E257D7" w:rsidRPr="00A27310" w:rsidRDefault="00E257D7" w:rsidP="00862BA2">
      <w:pPr>
        <w:rPr>
          <w:rFonts w:asciiTheme="majorHAnsi" w:hAnsiTheme="majorHAnsi" w:cstheme="majorHAnsi"/>
          <w:b/>
          <w:i/>
          <w:vanish/>
          <w:color w:val="FF0000"/>
          <w:sz w:val="24"/>
          <w:szCs w:val="24"/>
        </w:rPr>
      </w:pPr>
      <w:r w:rsidRPr="00A27310">
        <w:rPr>
          <w:rFonts w:asciiTheme="majorHAnsi" w:hAnsiTheme="majorHAnsi" w:cstheme="majorHAnsi"/>
          <w:b/>
          <w:i/>
          <w:vanish/>
          <w:color w:val="FF0000"/>
          <w:sz w:val="24"/>
          <w:szCs w:val="24"/>
        </w:rPr>
        <w:t>Yes, although it is always best to provide the buyer with the disclosure before a contract is executed, if at all possible.  This issue is addressed by HUD and the EPA in Part III of the Interpretive Guidance for the Real Estate Community on the Requirements for Disclosure of Information Concerning Lead-based Paint in Housing.  The Interpretive Guidance confirms the disclosure information can be provided to the buyer after contract acceptance if the buyer has the unilateral right to cancel the contract after receipt of the disclosures.</w:t>
      </w:r>
    </w:p>
    <w:p w14:paraId="72A50D97" w14:textId="3AF515BF" w:rsidR="00E257D7" w:rsidRDefault="00E257D7" w:rsidP="00862BA2">
      <w:pPr>
        <w:rPr>
          <w:rFonts w:asciiTheme="majorHAnsi" w:hAnsiTheme="majorHAnsi" w:cstheme="majorHAnsi"/>
          <w:sz w:val="24"/>
          <w:szCs w:val="24"/>
        </w:rPr>
      </w:pPr>
    </w:p>
    <w:p w14:paraId="675018E0" w14:textId="77777777" w:rsidR="00DC009E" w:rsidRPr="00802649" w:rsidRDefault="00DC009E" w:rsidP="00862BA2">
      <w:pPr>
        <w:rPr>
          <w:rFonts w:asciiTheme="majorHAnsi" w:hAnsiTheme="majorHAnsi" w:cstheme="majorHAnsi"/>
          <w:sz w:val="24"/>
          <w:szCs w:val="24"/>
        </w:rPr>
      </w:pPr>
    </w:p>
    <w:p w14:paraId="410749E0"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use of MLS electronic lead-based paint disclosures acceptable?</w:t>
      </w:r>
    </w:p>
    <w:p w14:paraId="4FA9DF2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the EPA has indicated this is acceptable as long as:</w:t>
      </w:r>
    </w:p>
    <w:p w14:paraId="42E1DD24" w14:textId="77777777"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receives and signs the completed lead-based paint disclosure form “before the point of obligation”; and</w:t>
      </w:r>
    </w:p>
    <w:p w14:paraId="6DED73FC" w14:textId="77777777" w:rsidR="00E257D7" w:rsidRPr="000E4D2F" w:rsidRDefault="00E257D7" w:rsidP="003120B8">
      <w:pPr>
        <w:pStyle w:val="ListParagraph"/>
        <w:numPr>
          <w:ilvl w:val="0"/>
          <w:numId w:val="3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buyer’s agent obtains a copy of the original disclosure form signed by the seller from the listing broker and attaches it to the form signed by the buyer.  The two forms must “add up” to a single completed form for the file.  In other words, it is permissible to get it signed in this manner but the brokers must still have a complete disclosure in the file signed by both parties.</w:t>
      </w:r>
    </w:p>
    <w:p w14:paraId="49877671" w14:textId="06D73713" w:rsidR="00E257D7" w:rsidRDefault="00E257D7" w:rsidP="00862BA2">
      <w:pPr>
        <w:rPr>
          <w:rFonts w:asciiTheme="majorHAnsi" w:hAnsiTheme="majorHAnsi" w:cstheme="majorHAnsi"/>
          <w:sz w:val="24"/>
          <w:szCs w:val="24"/>
        </w:rPr>
      </w:pPr>
    </w:p>
    <w:p w14:paraId="09688462" w14:textId="77777777" w:rsidR="00DC009E" w:rsidRPr="00802649" w:rsidRDefault="00DC009E" w:rsidP="00862BA2">
      <w:pPr>
        <w:rPr>
          <w:rFonts w:asciiTheme="majorHAnsi" w:hAnsiTheme="majorHAnsi" w:cstheme="majorHAnsi"/>
          <w:sz w:val="24"/>
          <w:szCs w:val="24"/>
        </w:rPr>
      </w:pPr>
    </w:p>
    <w:p w14:paraId="6CD7BC77"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penalties for violation?</w:t>
      </w:r>
    </w:p>
    <w:p w14:paraId="2B66254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There are procedures to determine the appropriate enforcement response outlined in the Guidelines for Assessments of Civil Penalties for Violations of the Disclosure Rule.  No warnings will be given; immediate civil penalties will be issued for violations.  In addition, a person who knowingly or willfully violates this law can be subject to criminal sanctions, including imprisonment for up to one year and criminal fines of $25,000 for each day of violation.</w:t>
      </w:r>
    </w:p>
    <w:p w14:paraId="08B00A8E" w14:textId="77777777" w:rsidR="00E257D7" w:rsidRPr="00802649" w:rsidRDefault="00E257D7" w:rsidP="00862BA2">
      <w:pPr>
        <w:rPr>
          <w:rFonts w:asciiTheme="majorHAnsi" w:hAnsiTheme="majorHAnsi" w:cstheme="majorHAnsi"/>
          <w:sz w:val="24"/>
          <w:szCs w:val="24"/>
        </w:rPr>
      </w:pPr>
    </w:p>
    <w:p w14:paraId="0D87E4FA" w14:textId="7C826790" w:rsidR="002A2035" w:rsidRPr="002A2035" w:rsidRDefault="002A2035" w:rsidP="002A2035">
      <w:pPr>
        <w:rPr>
          <w:rFonts w:asciiTheme="majorHAnsi" w:hAnsiTheme="majorHAnsi" w:cstheme="majorHAnsi"/>
          <w:b/>
          <w:vanish/>
          <w:color w:val="548DD4" w:themeColor="text2" w:themeTint="99"/>
          <w:sz w:val="24"/>
          <w:szCs w:val="24"/>
        </w:rPr>
      </w:pPr>
      <w:r w:rsidRPr="002A2035">
        <w:rPr>
          <w:rFonts w:asciiTheme="majorHAnsi" w:hAnsiTheme="majorHAnsi" w:cstheme="majorHAnsi"/>
          <w:b/>
          <w:vanish/>
          <w:color w:val="548DD4" w:themeColor="text2" w:themeTint="99"/>
          <w:sz w:val="24"/>
          <w:szCs w:val="24"/>
        </w:rPr>
        <w:t>Zoom:  Breakout:  What are the effects of lead-based paint poisoning</w:t>
      </w:r>
    </w:p>
    <w:p w14:paraId="4635AEC5" w14:textId="6E4ECDEB" w:rsidR="00B941D0" w:rsidRPr="00B941D0" w:rsidRDefault="00B941D0" w:rsidP="00F61774">
      <w:pPr>
        <w:pStyle w:val="Heading3"/>
        <w:shd w:val="clear" w:color="auto" w:fill="FFFFFF"/>
        <w:spacing w:before="0" w:line="240" w:lineRule="auto"/>
        <w:rPr>
          <w:rFonts w:ascii="Helvetica" w:hAnsi="Helvetica"/>
          <w:vanish/>
          <w:color w:val="4F81BD" w:themeColor="accent1"/>
        </w:rPr>
      </w:pPr>
      <w:r>
        <w:rPr>
          <w:rFonts w:ascii="Helvetica" w:hAnsi="Helvetica"/>
          <w:vanish/>
          <w:color w:val="4F81BD" w:themeColor="accent1"/>
        </w:rPr>
        <w:lastRenderedPageBreak/>
        <w:t>L</w:t>
      </w:r>
      <w:r w:rsidRPr="00B941D0">
        <w:rPr>
          <w:rFonts w:ascii="Helvetica" w:hAnsi="Helvetica"/>
          <w:vanish/>
          <w:color w:val="4F81BD" w:themeColor="accent1"/>
        </w:rPr>
        <w:t>ead poisoning symptoms in adults</w:t>
      </w:r>
    </w:p>
    <w:p w14:paraId="147E8FDD" w14:textId="603E9CB7" w:rsidR="00B941D0" w:rsidRPr="00B941D0" w:rsidRDefault="00B941D0" w:rsidP="00F61774">
      <w:pPr>
        <w:pStyle w:val="NormalWeb"/>
        <w:shd w:val="clear" w:color="auto" w:fill="FFFFFF"/>
        <w:spacing w:before="0" w:beforeAutospacing="0" w:after="0" w:afterAutospacing="0"/>
        <w:rPr>
          <w:rFonts w:ascii="Helvetica" w:hAnsi="Helvetica"/>
          <w:vanish/>
          <w:color w:val="4F81BD" w:themeColor="accent1"/>
        </w:rPr>
      </w:pPr>
      <w:r w:rsidRPr="00B941D0">
        <w:rPr>
          <w:rFonts w:ascii="Helvetica" w:hAnsi="Helvetica"/>
          <w:vanish/>
          <w:color w:val="4F81BD" w:themeColor="accent1"/>
        </w:rPr>
        <w:t>Signs and symptoms in adults might include:</w:t>
      </w:r>
    </w:p>
    <w:p w14:paraId="5661D206"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High blood pressure</w:t>
      </w:r>
    </w:p>
    <w:p w14:paraId="01C307A0"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Joint and muscle pain</w:t>
      </w:r>
    </w:p>
    <w:p w14:paraId="320837A1"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Difficulties with memory or concentration</w:t>
      </w:r>
    </w:p>
    <w:p w14:paraId="004ADF4E"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Headache</w:t>
      </w:r>
    </w:p>
    <w:p w14:paraId="53656636"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Abdominal pain</w:t>
      </w:r>
    </w:p>
    <w:p w14:paraId="740F0C44"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Mood disorders</w:t>
      </w:r>
    </w:p>
    <w:p w14:paraId="00569574"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Reduced sperm count and abnormal sperm</w:t>
      </w:r>
    </w:p>
    <w:p w14:paraId="14B0234A" w14:textId="77777777" w:rsidR="00B941D0" w:rsidRPr="00B941D0" w:rsidRDefault="00B941D0" w:rsidP="00F61774">
      <w:pPr>
        <w:numPr>
          <w:ilvl w:val="0"/>
          <w:numId w:val="76"/>
        </w:numPr>
        <w:shd w:val="clear" w:color="auto" w:fill="FFFFFF"/>
        <w:spacing w:after="0" w:line="240" w:lineRule="auto"/>
        <w:ind w:left="1260"/>
        <w:rPr>
          <w:rFonts w:ascii="Helvetica" w:hAnsi="Helvetica"/>
          <w:vanish/>
          <w:color w:val="4F81BD" w:themeColor="accent1"/>
        </w:rPr>
      </w:pPr>
      <w:r w:rsidRPr="00B941D0">
        <w:rPr>
          <w:rFonts w:ascii="Helvetica" w:hAnsi="Helvetica"/>
          <w:vanish/>
          <w:color w:val="4F81BD" w:themeColor="accent1"/>
        </w:rPr>
        <w:t xml:space="preserve">Miscarriage, </w:t>
      </w:r>
      <w:proofErr w:type="gramStart"/>
      <w:r w:rsidRPr="00B941D0">
        <w:rPr>
          <w:rFonts w:ascii="Helvetica" w:hAnsi="Helvetica"/>
          <w:vanish/>
          <w:color w:val="4F81BD" w:themeColor="accent1"/>
        </w:rPr>
        <w:t>stillbirth</w:t>
      </w:r>
      <w:proofErr w:type="gramEnd"/>
      <w:r w:rsidRPr="00B941D0">
        <w:rPr>
          <w:rFonts w:ascii="Helvetica" w:hAnsi="Helvetica"/>
          <w:vanish/>
          <w:color w:val="4F81BD" w:themeColor="accent1"/>
        </w:rPr>
        <w:t xml:space="preserve"> or premature birth in pregnant women</w:t>
      </w:r>
    </w:p>
    <w:p w14:paraId="321AD463" w14:textId="77777777" w:rsidR="00F61774" w:rsidRDefault="00F61774" w:rsidP="00F61774">
      <w:pPr>
        <w:shd w:val="clear" w:color="auto" w:fill="FFFFFF"/>
        <w:spacing w:after="0" w:line="240" w:lineRule="auto"/>
        <w:rPr>
          <w:rFonts w:ascii="Helvetica" w:eastAsia="Times New Roman" w:hAnsi="Helvetica"/>
          <w:vanish/>
          <w:color w:val="4F81BD" w:themeColor="accent1"/>
          <w:sz w:val="24"/>
          <w:szCs w:val="24"/>
        </w:rPr>
      </w:pPr>
    </w:p>
    <w:p w14:paraId="5BED2B71" w14:textId="5590E129" w:rsidR="00B941D0" w:rsidRPr="00B941D0" w:rsidRDefault="00B941D0" w:rsidP="00F61774">
      <w:pPr>
        <w:shd w:val="clear" w:color="auto" w:fill="FFFFFF"/>
        <w:spacing w:after="0" w:line="240" w:lineRule="auto"/>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Signs and symptoms of lead poisoning in children include:</w:t>
      </w:r>
    </w:p>
    <w:p w14:paraId="34A86F02"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Developmental delay</w:t>
      </w:r>
    </w:p>
    <w:p w14:paraId="3CB77B37"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Learning difficulties</w:t>
      </w:r>
    </w:p>
    <w:p w14:paraId="65FEBE80"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Irritability</w:t>
      </w:r>
    </w:p>
    <w:p w14:paraId="78DF2650"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Loss of appetite</w:t>
      </w:r>
    </w:p>
    <w:p w14:paraId="23CDC7E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Weight loss</w:t>
      </w:r>
    </w:p>
    <w:p w14:paraId="287A6759"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Sluggishness and fatigue</w:t>
      </w:r>
    </w:p>
    <w:p w14:paraId="7ADB7BEC"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Abdominal pain</w:t>
      </w:r>
    </w:p>
    <w:p w14:paraId="512E0E9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Vomiting</w:t>
      </w:r>
    </w:p>
    <w:p w14:paraId="6EF2621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Constipation</w:t>
      </w:r>
    </w:p>
    <w:p w14:paraId="63A9DEC6"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Hearing loss</w:t>
      </w:r>
    </w:p>
    <w:p w14:paraId="06D44AA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Seizures</w:t>
      </w:r>
    </w:p>
    <w:p w14:paraId="194040F5" w14:textId="77777777" w:rsidR="00B941D0" w:rsidRPr="00B941D0" w:rsidRDefault="00B941D0" w:rsidP="00F61774">
      <w:pPr>
        <w:numPr>
          <w:ilvl w:val="0"/>
          <w:numId w:val="77"/>
        </w:numPr>
        <w:shd w:val="clear" w:color="auto" w:fill="FFFFFF"/>
        <w:spacing w:after="0" w:line="240" w:lineRule="auto"/>
        <w:ind w:left="1260"/>
        <w:rPr>
          <w:rFonts w:ascii="Helvetica" w:eastAsia="Times New Roman" w:hAnsi="Helvetica"/>
          <w:vanish/>
          <w:color w:val="4F81BD" w:themeColor="accent1"/>
          <w:sz w:val="24"/>
          <w:szCs w:val="24"/>
        </w:rPr>
      </w:pPr>
      <w:r w:rsidRPr="00B941D0">
        <w:rPr>
          <w:rFonts w:ascii="Helvetica" w:eastAsia="Times New Roman" w:hAnsi="Helvetica"/>
          <w:vanish/>
          <w:color w:val="4F81BD" w:themeColor="accent1"/>
          <w:sz w:val="24"/>
          <w:szCs w:val="24"/>
        </w:rPr>
        <w:t>Eating things, such as paint chips, that aren't food (pica)</w:t>
      </w:r>
    </w:p>
    <w:p w14:paraId="64919830" w14:textId="77777777" w:rsidR="00E257D7" w:rsidRPr="00802649" w:rsidRDefault="00E257D7" w:rsidP="00862BA2">
      <w:pPr>
        <w:rPr>
          <w:rFonts w:asciiTheme="majorHAnsi" w:hAnsiTheme="majorHAnsi" w:cstheme="majorHAnsi"/>
          <w:b/>
          <w:sz w:val="24"/>
          <w:szCs w:val="24"/>
        </w:rPr>
      </w:pPr>
    </w:p>
    <w:p w14:paraId="4C2CCB8B"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properties are exempt from the LBP disclosure requirements?</w:t>
      </w:r>
    </w:p>
    <w:p w14:paraId="6D896FBB"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 xml:space="preserve">Property constructed </w:t>
      </w:r>
      <w:r w:rsidR="00DF3317">
        <w:rPr>
          <w:rFonts w:asciiTheme="majorHAnsi" w:hAnsiTheme="majorHAnsi" w:cstheme="majorHAnsi"/>
          <w:sz w:val="24"/>
          <w:szCs w:val="24"/>
        </w:rPr>
        <w:t xml:space="preserve">in </w:t>
      </w:r>
      <w:r w:rsidR="00E248E3" w:rsidRPr="00802649">
        <w:rPr>
          <w:rFonts w:asciiTheme="majorHAnsi" w:hAnsiTheme="majorHAnsi" w:cstheme="majorHAnsi"/>
          <w:sz w:val="24"/>
          <w:szCs w:val="24"/>
        </w:rPr>
        <w:t>1978</w:t>
      </w:r>
      <w:r w:rsidR="00DF3317">
        <w:rPr>
          <w:rFonts w:asciiTheme="majorHAnsi" w:hAnsiTheme="majorHAnsi" w:cstheme="majorHAnsi"/>
          <w:sz w:val="24"/>
          <w:szCs w:val="24"/>
        </w:rPr>
        <w:t xml:space="preserve"> or later</w:t>
      </w:r>
    </w:p>
    <w:p w14:paraId="4C9049C6"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Housing for elderly (retirement communities composed of persons over the age of 62) or disabled housing unless a child under the age of six will reside therein</w:t>
      </w:r>
    </w:p>
    <w:p w14:paraId="566B200C"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Foreclosure transactions</w:t>
      </w:r>
    </w:p>
    <w:p w14:paraId="66B95482"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Short-term leases (100 days or less where no renewal or extension can occur)</w:t>
      </w:r>
    </w:p>
    <w:p w14:paraId="6EEBEB7F"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Lease renewals where the disclosures were previously made and no new information since the initial disclosure was provided</w:t>
      </w:r>
    </w:p>
    <w:p w14:paraId="6BB65308"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Purchase, sale or servicing of mortgages</w:t>
      </w:r>
    </w:p>
    <w:p w14:paraId="4C9C4953" w14:textId="77777777" w:rsidR="00E257D7" w:rsidRPr="00802649" w:rsidRDefault="00E257D7" w:rsidP="003120B8">
      <w:pPr>
        <w:pStyle w:val="ListParagraph"/>
        <w:numPr>
          <w:ilvl w:val="0"/>
          <w:numId w:val="20"/>
        </w:numPr>
        <w:rPr>
          <w:rFonts w:asciiTheme="majorHAnsi" w:hAnsiTheme="majorHAnsi" w:cstheme="majorHAnsi"/>
          <w:sz w:val="24"/>
          <w:szCs w:val="24"/>
        </w:rPr>
      </w:pPr>
      <w:r w:rsidRPr="00802649">
        <w:rPr>
          <w:rFonts w:asciiTheme="majorHAnsi" w:hAnsiTheme="majorHAnsi" w:cstheme="majorHAnsi"/>
          <w:sz w:val="24"/>
          <w:szCs w:val="24"/>
        </w:rPr>
        <w:t>Sale or lease of zero-bedroom dwellings</w:t>
      </w:r>
    </w:p>
    <w:p w14:paraId="22B5D2E4" w14:textId="77777777" w:rsidR="00E257D7" w:rsidRPr="00802649" w:rsidRDefault="00E257D7" w:rsidP="00862BA2">
      <w:pPr>
        <w:rPr>
          <w:rFonts w:asciiTheme="majorHAnsi" w:hAnsiTheme="majorHAnsi" w:cstheme="majorHAnsi"/>
          <w:sz w:val="24"/>
          <w:szCs w:val="24"/>
        </w:rPr>
      </w:pPr>
    </w:p>
    <w:p w14:paraId="34683139"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Swimming Pool Barrier Disclosure</w:t>
      </w:r>
    </w:p>
    <w:p w14:paraId="1C351A9F"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 xml:space="preserve">A.R.S. §36-1681(E) states that “A person on entering into an agreement to build a swimming pool or contained body of water or sell, rent or lease a dwelling with a swimming pool or contained body of water shall give the buyer, lessee or renter a notice </w:t>
      </w:r>
      <w:r w:rsidRPr="00802649">
        <w:rPr>
          <w:rFonts w:asciiTheme="majorHAnsi" w:hAnsiTheme="majorHAnsi" w:cstheme="majorHAnsi"/>
          <w:sz w:val="24"/>
          <w:szCs w:val="24"/>
        </w:rPr>
        <w:lastRenderedPageBreak/>
        <w:t>explaining safety education and responsibilities of pool ownership as approved by the department of health services.”</w:t>
      </w:r>
    </w:p>
    <w:p w14:paraId="3C4B011B" w14:textId="77777777" w:rsidR="00E257D7" w:rsidRPr="00802649" w:rsidRDefault="00E257D7" w:rsidP="00862BA2">
      <w:pPr>
        <w:rPr>
          <w:rFonts w:asciiTheme="majorHAnsi" w:hAnsiTheme="majorHAnsi" w:cstheme="majorHAnsi"/>
          <w:sz w:val="24"/>
          <w:szCs w:val="24"/>
        </w:rPr>
      </w:pPr>
    </w:p>
    <w:p w14:paraId="24763D41" w14:textId="09AB6B16" w:rsidR="00DC009E" w:rsidRDefault="00DC009E">
      <w:pPr>
        <w:spacing w:after="0" w:line="240" w:lineRule="auto"/>
        <w:rPr>
          <w:rFonts w:asciiTheme="majorHAnsi" w:hAnsiTheme="majorHAnsi" w:cstheme="majorHAnsi"/>
          <w:sz w:val="24"/>
          <w:szCs w:val="24"/>
        </w:rPr>
      </w:pPr>
      <w:r>
        <w:rPr>
          <w:rFonts w:asciiTheme="majorHAnsi" w:hAnsiTheme="majorHAnsi" w:cstheme="majorHAnsi"/>
          <w:sz w:val="24"/>
          <w:szCs w:val="24"/>
        </w:rPr>
        <w:br w:type="page"/>
      </w:r>
    </w:p>
    <w:p w14:paraId="1037E969" w14:textId="77777777" w:rsidR="00E257D7" w:rsidRPr="00802649" w:rsidRDefault="00E257D7" w:rsidP="00862BA2">
      <w:pPr>
        <w:rPr>
          <w:rFonts w:asciiTheme="majorHAnsi" w:hAnsiTheme="majorHAnsi" w:cstheme="majorHAnsi"/>
          <w:sz w:val="24"/>
          <w:szCs w:val="24"/>
        </w:rPr>
      </w:pPr>
    </w:p>
    <w:p w14:paraId="6718B549"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Planned Community/Condominium Disclosure Information</w:t>
      </w:r>
    </w:p>
    <w:p w14:paraId="39EFA715"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Certain specific disclosures are required when the transaction involves a sale in planned communities/condominiums.  When the development has fewer than 50 units, the seller is required to make the required disclosures, providing the buyer with a number of items including:</w:t>
      </w:r>
    </w:p>
    <w:p w14:paraId="39E9AA3E"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bylaws and rules of the association</w:t>
      </w:r>
    </w:p>
    <w:p w14:paraId="5434EFA7"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declaration CC&amp;Rs</w:t>
      </w:r>
    </w:p>
    <w:p w14:paraId="0DDABF6D"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Information related to fees and dues</w:t>
      </w:r>
    </w:p>
    <w:p w14:paraId="1BEE5F57"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Contact information for the association, including phone number, address, contact person, etc.</w:t>
      </w:r>
    </w:p>
    <w:p w14:paraId="22CC3C90"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copy of the association’s operating budget</w:t>
      </w:r>
    </w:p>
    <w:p w14:paraId="103C1D62" w14:textId="77777777" w:rsidR="00E257D7" w:rsidRPr="000E4D2F" w:rsidRDefault="00E257D7" w:rsidP="003120B8">
      <w:pPr>
        <w:pStyle w:val="ListParagraph"/>
        <w:numPr>
          <w:ilvl w:val="0"/>
          <w:numId w:val="3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D3FED80" w14:textId="4C022062" w:rsidR="00D84DFD" w:rsidRDefault="00D84DFD" w:rsidP="00862BA2">
      <w:pPr>
        <w:rPr>
          <w:rFonts w:asciiTheme="majorHAnsi" w:hAnsiTheme="majorHAnsi" w:cstheme="majorHAnsi"/>
          <w:sz w:val="24"/>
          <w:szCs w:val="24"/>
        </w:rPr>
      </w:pPr>
    </w:p>
    <w:p w14:paraId="08A13522" w14:textId="77777777" w:rsidR="00DC009E" w:rsidRPr="00802649" w:rsidRDefault="00DC009E" w:rsidP="00862BA2">
      <w:pPr>
        <w:rPr>
          <w:rFonts w:asciiTheme="majorHAnsi" w:hAnsiTheme="majorHAnsi" w:cstheme="majorHAnsi"/>
          <w:sz w:val="24"/>
          <w:szCs w:val="24"/>
        </w:rPr>
      </w:pPr>
    </w:p>
    <w:p w14:paraId="48872A7B"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When the development has 50 or more units, these disclosures must be made by the association.</w:t>
      </w:r>
    </w:p>
    <w:p w14:paraId="04758894"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These disclosures must be made within 10 days of written receipt of the pending sale. (For sellers, this would mean within 10 days after contract acceptance.)</w:t>
      </w:r>
    </w:p>
    <w:p w14:paraId="2C054BB7" w14:textId="77777777" w:rsidR="00E257D7" w:rsidRPr="00802649" w:rsidRDefault="00E257D7" w:rsidP="00862BA2">
      <w:pPr>
        <w:rPr>
          <w:rFonts w:asciiTheme="majorHAnsi" w:hAnsiTheme="majorHAnsi" w:cstheme="majorHAnsi"/>
          <w:sz w:val="24"/>
          <w:szCs w:val="24"/>
        </w:rPr>
      </w:pPr>
    </w:p>
    <w:p w14:paraId="62367CED" w14:textId="77777777" w:rsidR="00D71EE4" w:rsidRDefault="00D71EE4" w:rsidP="00862BA2">
      <w:pPr>
        <w:rPr>
          <w:rFonts w:asciiTheme="majorHAnsi" w:hAnsiTheme="majorHAnsi" w:cstheme="majorHAnsi"/>
          <w:b/>
          <w:sz w:val="28"/>
          <w:szCs w:val="28"/>
        </w:rPr>
      </w:pPr>
    </w:p>
    <w:p w14:paraId="5F637AF2"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Notice of Soil Remediation</w:t>
      </w:r>
    </w:p>
    <w:p w14:paraId="06707082"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If the seller has actual knowledge that the property has been subject to soil remediation, it must be disclosed in accordance with A.R.S. §33.434.01 and 49-701.02.  This means the seller knows “…the property has been used for the disposal of excavated soils which do not meet predetermined residential soil remediation levels or remediation standards for residential exposure assumptions…” A.R.S. §49-701.02(B).</w:t>
      </w:r>
    </w:p>
    <w:p w14:paraId="2298CF7E" w14:textId="77777777" w:rsidR="00E257D7" w:rsidRPr="00802649" w:rsidRDefault="00E257D7" w:rsidP="00862BA2">
      <w:pPr>
        <w:rPr>
          <w:rFonts w:asciiTheme="majorHAnsi" w:hAnsiTheme="majorHAnsi" w:cstheme="majorHAnsi"/>
          <w:b/>
          <w:sz w:val="24"/>
          <w:szCs w:val="24"/>
        </w:rPr>
      </w:pPr>
    </w:p>
    <w:p w14:paraId="5B5CEB50" w14:textId="77777777" w:rsidR="00E257D7" w:rsidRPr="00802649" w:rsidRDefault="00E257D7" w:rsidP="00862BA2">
      <w:pPr>
        <w:rPr>
          <w:rFonts w:asciiTheme="majorHAnsi" w:hAnsiTheme="majorHAnsi" w:cstheme="majorHAnsi"/>
          <w:b/>
          <w:sz w:val="28"/>
          <w:szCs w:val="28"/>
        </w:rPr>
      </w:pPr>
      <w:r w:rsidRPr="00802649">
        <w:rPr>
          <w:rFonts w:asciiTheme="majorHAnsi" w:hAnsiTheme="majorHAnsi" w:cstheme="majorHAnsi"/>
          <w:b/>
          <w:sz w:val="28"/>
          <w:szCs w:val="28"/>
        </w:rPr>
        <w:t>Affidavit of Disclosure</w:t>
      </w:r>
    </w:p>
    <w:p w14:paraId="16BC5466"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An Affidavit of Disclosure is required for sellers of five or fewer parcels of land, other than subdivided land, in an unincorporated area not located in a subdivision.</w:t>
      </w:r>
    </w:p>
    <w:p w14:paraId="51FE9BF4"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specific risks are addressed by the Affidavit of Disclosure?</w:t>
      </w:r>
    </w:p>
    <w:p w14:paraId="2FB1C3BF"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Seller failure to disclose</w:t>
      </w:r>
    </w:p>
    <w:p w14:paraId="51AF43A3"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Rescission claims</w:t>
      </w:r>
    </w:p>
    <w:p w14:paraId="4BC2A878" w14:textId="77777777" w:rsidR="00E257D7" w:rsidRPr="000E4D2F" w:rsidRDefault="00E257D7" w:rsidP="003120B8">
      <w:pPr>
        <w:pStyle w:val="ListParagraph"/>
        <w:numPr>
          <w:ilvl w:val="0"/>
          <w:numId w:val="3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Broker liability for failure to advise seller of laws</w:t>
      </w:r>
    </w:p>
    <w:p w14:paraId="6B2E0A8A" w14:textId="77777777" w:rsidR="00DC009E" w:rsidRDefault="00DC009E" w:rsidP="00862BA2">
      <w:pPr>
        <w:rPr>
          <w:rFonts w:asciiTheme="majorHAnsi" w:hAnsiTheme="majorHAnsi" w:cstheme="majorHAnsi"/>
          <w:b/>
          <w:sz w:val="24"/>
          <w:szCs w:val="24"/>
        </w:rPr>
      </w:pPr>
    </w:p>
    <w:p w14:paraId="0C36D885" w14:textId="77777777" w:rsidR="00DC009E" w:rsidRDefault="00DC009E" w:rsidP="00862BA2">
      <w:pPr>
        <w:rPr>
          <w:rFonts w:asciiTheme="majorHAnsi" w:hAnsiTheme="majorHAnsi" w:cstheme="majorHAnsi"/>
          <w:b/>
          <w:sz w:val="24"/>
          <w:szCs w:val="24"/>
        </w:rPr>
      </w:pPr>
    </w:p>
    <w:p w14:paraId="05C5DEC9" w14:textId="60573270"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are the time requirements?</w:t>
      </w:r>
    </w:p>
    <w:p w14:paraId="13007AAC"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seller is required to furnish the affidavit to the buyer at least seven days before the transfer of the property.</w:t>
      </w:r>
    </w:p>
    <w:p w14:paraId="0995FC61" w14:textId="77777777" w:rsidR="00DC009E" w:rsidRDefault="00DC009E" w:rsidP="00862BA2">
      <w:pPr>
        <w:rPr>
          <w:rFonts w:asciiTheme="majorHAnsi" w:hAnsiTheme="majorHAnsi" w:cstheme="majorHAnsi"/>
          <w:b/>
          <w:sz w:val="24"/>
          <w:szCs w:val="24"/>
        </w:rPr>
      </w:pPr>
    </w:p>
    <w:p w14:paraId="464234F4" w14:textId="77777777" w:rsidR="00DC009E" w:rsidRDefault="00DC009E" w:rsidP="00862BA2">
      <w:pPr>
        <w:rPr>
          <w:rFonts w:asciiTheme="majorHAnsi" w:hAnsiTheme="majorHAnsi" w:cstheme="majorHAnsi"/>
          <w:b/>
          <w:sz w:val="24"/>
          <w:szCs w:val="24"/>
        </w:rPr>
      </w:pPr>
    </w:p>
    <w:p w14:paraId="146ECE10" w14:textId="59FFD2AE"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Does this apply only to vacant land?</w:t>
      </w:r>
    </w:p>
    <w:p w14:paraId="79E3EA6A"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applies to all land sold in five or fewer parcels in an unincorporated area, whether improved, unimproved, vacant, residential or commercial.</w:t>
      </w:r>
    </w:p>
    <w:p w14:paraId="2675CA25" w14:textId="77777777" w:rsidR="00DC009E" w:rsidRDefault="00DC009E" w:rsidP="00862BA2">
      <w:pPr>
        <w:rPr>
          <w:rFonts w:asciiTheme="majorHAnsi" w:hAnsiTheme="majorHAnsi" w:cstheme="majorHAnsi"/>
          <w:b/>
          <w:sz w:val="24"/>
          <w:szCs w:val="24"/>
        </w:rPr>
      </w:pPr>
    </w:p>
    <w:p w14:paraId="0714CCDB" w14:textId="77777777" w:rsidR="00DC009E" w:rsidRDefault="00DC009E" w:rsidP="00862BA2">
      <w:pPr>
        <w:rPr>
          <w:rFonts w:asciiTheme="majorHAnsi" w:hAnsiTheme="majorHAnsi" w:cstheme="majorHAnsi"/>
          <w:b/>
          <w:sz w:val="24"/>
          <w:szCs w:val="24"/>
        </w:rPr>
      </w:pPr>
    </w:p>
    <w:p w14:paraId="37A4E3F6" w14:textId="0FD8B141"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kind of information must be disclosed?</w:t>
      </w:r>
    </w:p>
    <w:p w14:paraId="4BCA2D28"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affidavit must address issues such as legal access, physical access, road maintenance, floods and floodplains, utilities and services, water, wells, septic systems, percolation tests, and zoning deficiencies.</w:t>
      </w:r>
    </w:p>
    <w:p w14:paraId="26333ABD"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16612B05"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lastRenderedPageBreak/>
        <w:t>What if the seller does not know some of the required disclosure information?</w:t>
      </w:r>
    </w:p>
    <w:p w14:paraId="28BC27CC"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Some of the items do not allow for an “unknown” response.  If the seller does not know or have access to the requested information, they should indicate that on the form and provide any necessary explanation on the explanation lines.</w:t>
      </w:r>
    </w:p>
    <w:p w14:paraId="57CD4464" w14:textId="77777777" w:rsidR="00DC009E" w:rsidRDefault="00DC009E" w:rsidP="00862BA2">
      <w:pPr>
        <w:rPr>
          <w:rFonts w:asciiTheme="majorHAnsi" w:hAnsiTheme="majorHAnsi" w:cstheme="majorHAnsi"/>
          <w:b/>
          <w:sz w:val="24"/>
          <w:szCs w:val="24"/>
        </w:rPr>
      </w:pPr>
    </w:p>
    <w:p w14:paraId="50E47C2B" w14:textId="77777777" w:rsidR="00DC009E" w:rsidRDefault="00DC009E" w:rsidP="00862BA2">
      <w:pPr>
        <w:rPr>
          <w:rFonts w:asciiTheme="majorHAnsi" w:hAnsiTheme="majorHAnsi" w:cstheme="majorHAnsi"/>
          <w:b/>
          <w:sz w:val="24"/>
          <w:szCs w:val="24"/>
        </w:rPr>
      </w:pPr>
    </w:p>
    <w:p w14:paraId="554F93CD" w14:textId="78C5A1FE"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Is the seller required to make any other disclosures?</w:t>
      </w:r>
    </w:p>
    <w:p w14:paraId="68E5FF61"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Yes, a seller is still required to disclose all known material defects in addition to the statutory disclosures addressed in the affidavit.  In addition, if the information in the affidavit changes, a new affidavit must be recorded.</w:t>
      </w:r>
    </w:p>
    <w:p w14:paraId="043726EC" w14:textId="77777777" w:rsidR="00DC009E" w:rsidRDefault="00DC009E" w:rsidP="00862BA2">
      <w:pPr>
        <w:rPr>
          <w:rFonts w:asciiTheme="majorHAnsi" w:hAnsiTheme="majorHAnsi" w:cstheme="majorHAnsi"/>
          <w:b/>
          <w:sz w:val="24"/>
          <w:szCs w:val="24"/>
        </w:rPr>
      </w:pPr>
    </w:p>
    <w:p w14:paraId="00F58F11" w14:textId="77777777" w:rsidR="00DC009E" w:rsidRDefault="00DC009E" w:rsidP="00862BA2">
      <w:pPr>
        <w:rPr>
          <w:rFonts w:asciiTheme="majorHAnsi" w:hAnsiTheme="majorHAnsi" w:cstheme="majorHAnsi"/>
          <w:b/>
          <w:sz w:val="24"/>
          <w:szCs w:val="24"/>
        </w:rPr>
      </w:pPr>
    </w:p>
    <w:p w14:paraId="5A831942" w14:textId="52DCF025"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action must a buyer take to rescind a transaction after receiving the affidavit</w:t>
      </w:r>
      <w:r w:rsidR="00333C27">
        <w:rPr>
          <w:rFonts w:asciiTheme="majorHAnsi" w:hAnsiTheme="majorHAnsi" w:cstheme="majorHAnsi"/>
          <w:b/>
          <w:sz w:val="24"/>
          <w:szCs w:val="24"/>
        </w:rPr>
        <w:t xml:space="preserve"> of disclosure</w:t>
      </w:r>
      <w:r w:rsidRPr="00802649">
        <w:rPr>
          <w:rFonts w:asciiTheme="majorHAnsi" w:hAnsiTheme="majorHAnsi" w:cstheme="majorHAnsi"/>
          <w:b/>
          <w:sz w:val="24"/>
          <w:szCs w:val="24"/>
        </w:rPr>
        <w:t>?</w:t>
      </w:r>
    </w:p>
    <w:p w14:paraId="726CDDD4" w14:textId="77777777" w:rsidR="00E257D7" w:rsidRPr="000E4D2F" w:rsidRDefault="00E257D7" w:rsidP="00862BA2">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can rescind the transaction within five days of receipt of the affidavit</w:t>
      </w:r>
      <w:r w:rsidR="00E1223E">
        <w:rPr>
          <w:rFonts w:asciiTheme="majorHAnsi" w:hAnsiTheme="majorHAnsi" w:cstheme="majorHAnsi"/>
          <w:b/>
          <w:i/>
          <w:vanish/>
          <w:color w:val="FF0000"/>
          <w:sz w:val="24"/>
          <w:szCs w:val="24"/>
        </w:rPr>
        <w:t xml:space="preserve"> of disclosure</w:t>
      </w:r>
      <w:r w:rsidRPr="000E4D2F">
        <w:rPr>
          <w:rFonts w:asciiTheme="majorHAnsi" w:hAnsiTheme="majorHAnsi" w:cstheme="majorHAnsi"/>
          <w:b/>
          <w:i/>
          <w:vanish/>
          <w:color w:val="FF0000"/>
          <w:sz w:val="24"/>
          <w:szCs w:val="24"/>
        </w:rPr>
        <w:t>.  Written notice of rescission from the buyer to the seller within the time period should be sufficient.</w:t>
      </w:r>
    </w:p>
    <w:p w14:paraId="5586FA96" w14:textId="77777777" w:rsidR="00E257D7" w:rsidRPr="00802649" w:rsidRDefault="00E257D7" w:rsidP="00862BA2">
      <w:pPr>
        <w:rPr>
          <w:rFonts w:asciiTheme="majorHAnsi" w:hAnsiTheme="majorHAnsi" w:cstheme="majorHAnsi"/>
          <w:sz w:val="24"/>
          <w:szCs w:val="24"/>
        </w:rPr>
      </w:pPr>
    </w:p>
    <w:p w14:paraId="36482DFA" w14:textId="77777777" w:rsidR="007E7337"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t>Meth Lab (and other Dangerous Drug Lab) Disclosure</w:t>
      </w:r>
    </w:p>
    <w:p w14:paraId="0A188F5D" w14:textId="77777777" w:rsidR="007E7337" w:rsidRPr="007E7337" w:rsidRDefault="007E7337" w:rsidP="007E7337">
      <w:pPr>
        <w:rPr>
          <w:rFonts w:asciiTheme="majorHAnsi" w:hAnsiTheme="majorHAnsi" w:cstheme="majorHAnsi"/>
          <w:b/>
          <w:sz w:val="24"/>
          <w:szCs w:val="24"/>
        </w:rPr>
      </w:pPr>
      <w:r w:rsidRPr="007E7337">
        <w:rPr>
          <w:rFonts w:ascii="Arial" w:hAnsi="Arial" w:cs="Arial"/>
          <w:sz w:val="24"/>
          <w:szCs w:val="24"/>
          <w:shd w:val="clear" w:color="auto" w:fill="FFFFFF"/>
        </w:rPr>
        <w:t xml:space="preserve">SB 1256, Arizona’s drug lab remediation program has been transferred from BTR to the Arizona Department of Environmental Quality. </w:t>
      </w:r>
      <w:r>
        <w:rPr>
          <w:rFonts w:ascii="Arial" w:hAnsi="Arial" w:cs="Arial"/>
          <w:sz w:val="24"/>
          <w:szCs w:val="24"/>
          <w:shd w:val="clear" w:color="auto" w:fill="FFFFFF"/>
        </w:rPr>
        <w:t>T</w:t>
      </w:r>
      <w:r w:rsidRPr="007E7337">
        <w:rPr>
          <w:rFonts w:ascii="Arial" w:hAnsi="Arial" w:cs="Arial"/>
          <w:sz w:val="24"/>
          <w:szCs w:val="24"/>
          <w:shd w:val="clear" w:color="auto" w:fill="FFFFFF"/>
        </w:rPr>
        <w:t xml:space="preserve">his same legislation repealed the law that: (1) mandated remediation of properties used as drug labs; and (2) required disclosure of the fact that the property had served as an illegal drug lab and remains </w:t>
      </w:r>
      <w:proofErr w:type="spellStart"/>
      <w:r w:rsidRPr="007E7337">
        <w:rPr>
          <w:rFonts w:ascii="Arial" w:hAnsi="Arial" w:cs="Arial"/>
          <w:sz w:val="24"/>
          <w:szCs w:val="24"/>
          <w:shd w:val="clear" w:color="auto" w:fill="FFFFFF"/>
        </w:rPr>
        <w:t>unremediated</w:t>
      </w:r>
      <w:proofErr w:type="spellEnd"/>
      <w:r w:rsidRPr="007E7337">
        <w:rPr>
          <w:rFonts w:ascii="Arial" w:hAnsi="Arial" w:cs="Arial"/>
          <w:sz w:val="24"/>
          <w:szCs w:val="24"/>
          <w:shd w:val="clear" w:color="auto" w:fill="FFFFFF"/>
        </w:rPr>
        <w:t>.</w:t>
      </w:r>
    </w:p>
    <w:p w14:paraId="6B409775" w14:textId="3C362761" w:rsidR="007E7337" w:rsidRDefault="007E7337" w:rsidP="007E7337">
      <w:pPr>
        <w:rPr>
          <w:rFonts w:ascii="Arial" w:hAnsi="Arial" w:cs="Arial"/>
          <w:vanish/>
          <w:color w:val="FF0000"/>
          <w:sz w:val="24"/>
          <w:szCs w:val="24"/>
          <w:shd w:val="clear" w:color="auto" w:fill="FFFFFF"/>
        </w:rPr>
      </w:pPr>
      <w:r w:rsidRPr="007E7337">
        <w:rPr>
          <w:rFonts w:ascii="Arial" w:hAnsi="Arial" w:cs="Arial"/>
          <w:vanish/>
          <w:color w:val="FF0000"/>
          <w:sz w:val="24"/>
          <w:szCs w:val="24"/>
          <w:shd w:val="clear" w:color="auto" w:fill="FFFFFF"/>
        </w:rPr>
        <w:t>Note:  Although AZ law no longer statutorily requires disclosure of drug labs, this type of information is material in a transaction.  Accordingly, the SPDS at lines 205-206 asks the seller if they are “aware if any portion of the Property has ever been used as a ‘Clandestine drug laboratory’.</w:t>
      </w:r>
    </w:p>
    <w:p w14:paraId="049181DE" w14:textId="38509AE4" w:rsidR="00635DE7" w:rsidRPr="00635DE7" w:rsidRDefault="00635DE7" w:rsidP="007E7337">
      <w:pPr>
        <w:rPr>
          <w:rFonts w:ascii="Arial" w:hAnsi="Arial" w:cs="Arial"/>
          <w:vanish/>
          <w:color w:val="548DD4" w:themeColor="text2" w:themeTint="99"/>
          <w:sz w:val="24"/>
          <w:szCs w:val="24"/>
          <w:shd w:val="clear" w:color="auto" w:fill="FFFFFF"/>
        </w:rPr>
      </w:pPr>
      <w:r w:rsidRPr="00635DE7">
        <w:rPr>
          <w:rFonts w:ascii="Arial" w:hAnsi="Arial" w:cs="Arial"/>
          <w:vanish/>
          <w:color w:val="548DD4" w:themeColor="text2" w:themeTint="99"/>
          <w:sz w:val="24"/>
          <w:szCs w:val="24"/>
          <w:shd w:val="clear" w:color="auto" w:fill="FFFFFF"/>
        </w:rPr>
        <w:t>ZOOM:  YES/NO:  Is this a required disclosure:  Yes/No</w:t>
      </w:r>
    </w:p>
    <w:p w14:paraId="15D845E6" w14:textId="77777777" w:rsidR="007E7337" w:rsidRDefault="007E7337" w:rsidP="007E7337">
      <w:pPr>
        <w:rPr>
          <w:rFonts w:asciiTheme="majorHAnsi" w:hAnsiTheme="majorHAnsi" w:cstheme="majorHAnsi"/>
          <w:b/>
          <w:sz w:val="28"/>
          <w:szCs w:val="28"/>
        </w:rPr>
      </w:pPr>
    </w:p>
    <w:p w14:paraId="24FE3A16" w14:textId="77777777" w:rsidR="00E257D7" w:rsidRPr="00802649" w:rsidRDefault="00E257D7" w:rsidP="007E7337">
      <w:pPr>
        <w:rPr>
          <w:rFonts w:asciiTheme="majorHAnsi" w:hAnsiTheme="majorHAnsi" w:cstheme="majorHAnsi"/>
          <w:b/>
          <w:sz w:val="28"/>
          <w:szCs w:val="28"/>
        </w:rPr>
      </w:pPr>
      <w:r w:rsidRPr="00802649">
        <w:rPr>
          <w:rFonts w:asciiTheme="majorHAnsi" w:hAnsiTheme="majorHAnsi" w:cstheme="majorHAnsi"/>
          <w:b/>
          <w:sz w:val="28"/>
          <w:szCs w:val="28"/>
        </w:rPr>
        <w:lastRenderedPageBreak/>
        <w:t>Subdivision Disclosures/Public Reports</w:t>
      </w:r>
    </w:p>
    <w:p w14:paraId="480713F1"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Sellers of new homes in subdivisions are required to provide the buyer with the Public Report and a chance to review it prior to signing a contract.</w:t>
      </w:r>
    </w:p>
    <w:p w14:paraId="5294D5FF"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What risks are addressed by subdivision disclosures and Public Reports?</w:t>
      </w:r>
    </w:p>
    <w:p w14:paraId="32E2827C" w14:textId="77777777"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disclose critical information regarding physical and environmental characteristics of the property</w:t>
      </w:r>
    </w:p>
    <w:p w14:paraId="36B4A9A3" w14:textId="77777777" w:rsidR="00E257D7" w:rsidRPr="000E4D2F" w:rsidRDefault="00E257D7" w:rsidP="003120B8">
      <w:pPr>
        <w:pStyle w:val="ListParagraph"/>
        <w:numPr>
          <w:ilvl w:val="0"/>
          <w:numId w:val="3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 of property</w:t>
      </w:r>
    </w:p>
    <w:p w14:paraId="6DC0957B" w14:textId="77777777" w:rsidR="00DC009E" w:rsidRDefault="00DC009E" w:rsidP="00862BA2">
      <w:pPr>
        <w:tabs>
          <w:tab w:val="left" w:pos="5460"/>
        </w:tabs>
        <w:rPr>
          <w:rFonts w:asciiTheme="majorHAnsi" w:hAnsiTheme="majorHAnsi" w:cstheme="majorHAnsi"/>
          <w:b/>
          <w:sz w:val="24"/>
          <w:szCs w:val="24"/>
        </w:rPr>
      </w:pPr>
    </w:p>
    <w:p w14:paraId="20751F38" w14:textId="77777777" w:rsidR="00DC009E" w:rsidRDefault="00DC009E" w:rsidP="00862BA2">
      <w:pPr>
        <w:tabs>
          <w:tab w:val="left" w:pos="5460"/>
        </w:tabs>
        <w:rPr>
          <w:rFonts w:asciiTheme="majorHAnsi" w:hAnsiTheme="majorHAnsi" w:cstheme="majorHAnsi"/>
          <w:b/>
          <w:sz w:val="24"/>
          <w:szCs w:val="24"/>
        </w:rPr>
      </w:pPr>
    </w:p>
    <w:p w14:paraId="4BDC9CD8" w14:textId="103370A5" w:rsidR="00E257D7" w:rsidRPr="00802649" w:rsidRDefault="00E257D7" w:rsidP="00862BA2">
      <w:pPr>
        <w:tabs>
          <w:tab w:val="left" w:pos="5460"/>
        </w:tabs>
        <w:rPr>
          <w:rFonts w:asciiTheme="majorHAnsi" w:hAnsiTheme="majorHAnsi" w:cstheme="majorHAnsi"/>
          <w:b/>
          <w:sz w:val="24"/>
          <w:szCs w:val="24"/>
        </w:rPr>
      </w:pPr>
      <w:r w:rsidRPr="00802649">
        <w:rPr>
          <w:rFonts w:asciiTheme="majorHAnsi" w:hAnsiTheme="majorHAnsi" w:cstheme="majorHAnsi"/>
          <w:b/>
          <w:sz w:val="24"/>
          <w:szCs w:val="24"/>
        </w:rPr>
        <w:t>What items are addressed in a Public Report?</w:t>
      </w:r>
      <w:r w:rsidRPr="00802649">
        <w:rPr>
          <w:rFonts w:asciiTheme="majorHAnsi" w:hAnsiTheme="majorHAnsi" w:cstheme="majorHAnsi"/>
          <w:b/>
          <w:sz w:val="24"/>
          <w:szCs w:val="24"/>
        </w:rPr>
        <w:tab/>
      </w:r>
    </w:p>
    <w:p w14:paraId="6979E102" w14:textId="77777777" w:rsidR="00E257D7" w:rsidRPr="00802649" w:rsidRDefault="00E257D7" w:rsidP="00862BA2">
      <w:pPr>
        <w:tabs>
          <w:tab w:val="left" w:pos="5460"/>
        </w:tabs>
        <w:rPr>
          <w:rFonts w:asciiTheme="majorHAnsi" w:hAnsiTheme="majorHAnsi" w:cstheme="majorHAnsi"/>
          <w:sz w:val="24"/>
          <w:szCs w:val="24"/>
        </w:rPr>
      </w:pPr>
      <w:r w:rsidRPr="00802649">
        <w:rPr>
          <w:rFonts w:asciiTheme="majorHAnsi" w:hAnsiTheme="majorHAnsi" w:cstheme="majorHAnsi"/>
          <w:sz w:val="24"/>
          <w:szCs w:val="24"/>
        </w:rPr>
        <w:t>The Public Report contains vital information about the subdivision, including:</w:t>
      </w:r>
    </w:p>
    <w:p w14:paraId="03BA0211"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Identity of developer</w:t>
      </w:r>
    </w:p>
    <w:p w14:paraId="11EDEEB7"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Physical characteristics</w:t>
      </w:r>
    </w:p>
    <w:p w14:paraId="6FEBA03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Environmental characteristics</w:t>
      </w:r>
    </w:p>
    <w:p w14:paraId="3D6E77F5"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Conditions limiting use or occupancy</w:t>
      </w:r>
    </w:p>
    <w:p w14:paraId="51FCD655"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Road maintenance</w:t>
      </w:r>
    </w:p>
    <w:p w14:paraId="6BB75D0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HOA info</w:t>
      </w:r>
    </w:p>
    <w:p w14:paraId="7478FA2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Flooding and drainage issues</w:t>
      </w:r>
    </w:p>
    <w:p w14:paraId="6021D348"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Adjacent land use</w:t>
      </w:r>
    </w:p>
    <w:p w14:paraId="0CB349A6"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Location of gas pipelines</w:t>
      </w:r>
    </w:p>
    <w:p w14:paraId="551D2CA3"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Vicinity to airports</w:t>
      </w:r>
    </w:p>
    <w:p w14:paraId="5B46400E"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Documentation of subdivision’s planned completion</w:t>
      </w:r>
    </w:p>
    <w:p w14:paraId="311446EF"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utilities</w:t>
      </w:r>
    </w:p>
    <w:p w14:paraId="71F1FD3D" w14:textId="77777777" w:rsidR="00E257D7" w:rsidRPr="000E4D2F" w:rsidRDefault="00E257D7" w:rsidP="003120B8">
      <w:pPr>
        <w:pStyle w:val="ListParagraph"/>
        <w:numPr>
          <w:ilvl w:val="0"/>
          <w:numId w:val="3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Availability of schools, shopping facilities, public transportation and emergency services</w:t>
      </w:r>
    </w:p>
    <w:p w14:paraId="6B8CF2C3" w14:textId="77777777" w:rsidR="00E248E3" w:rsidRPr="00802649" w:rsidRDefault="00E248E3">
      <w:pPr>
        <w:rPr>
          <w:rFonts w:asciiTheme="majorHAnsi" w:hAnsiTheme="majorHAnsi" w:cstheme="majorHAnsi"/>
          <w:sz w:val="24"/>
          <w:szCs w:val="24"/>
        </w:rPr>
      </w:pPr>
    </w:p>
    <w:p w14:paraId="194A085F" w14:textId="77777777" w:rsidR="00E248E3" w:rsidRPr="00802649" w:rsidRDefault="00E248E3">
      <w:pPr>
        <w:rPr>
          <w:rFonts w:asciiTheme="majorHAnsi" w:hAnsiTheme="majorHAnsi" w:cstheme="majorHAnsi"/>
          <w:sz w:val="24"/>
          <w:szCs w:val="24"/>
        </w:rPr>
      </w:pPr>
    </w:p>
    <w:p w14:paraId="482FDCC8" w14:textId="77777777" w:rsidR="00E248E3" w:rsidRPr="00802649" w:rsidRDefault="00E248E3">
      <w:pPr>
        <w:rPr>
          <w:rFonts w:asciiTheme="majorHAnsi" w:hAnsiTheme="majorHAnsi" w:cstheme="majorHAnsi"/>
          <w:sz w:val="24"/>
          <w:szCs w:val="24"/>
        </w:rPr>
      </w:pPr>
      <w:r w:rsidRPr="00802649">
        <w:rPr>
          <w:rFonts w:asciiTheme="majorHAnsi" w:hAnsiTheme="majorHAnsi" w:cstheme="majorHAnsi"/>
          <w:sz w:val="24"/>
          <w:szCs w:val="24"/>
        </w:rPr>
        <w:t>(Older public reports are available on line if you are looking for information on a resale property:</w:t>
      </w:r>
    </w:p>
    <w:p w14:paraId="6F35CE4D" w14:textId="77777777" w:rsidR="00E257D7" w:rsidRPr="00802649" w:rsidRDefault="004619DA">
      <w:pPr>
        <w:rPr>
          <w:rFonts w:asciiTheme="majorHAnsi" w:hAnsiTheme="majorHAnsi" w:cstheme="majorHAnsi"/>
          <w:sz w:val="24"/>
          <w:szCs w:val="24"/>
        </w:rPr>
      </w:pPr>
      <w:hyperlink r:id="rId10" w:history="1">
        <w:r w:rsidR="00E248E3" w:rsidRPr="00802649">
          <w:rPr>
            <w:rStyle w:val="Hyperlink"/>
            <w:rFonts w:asciiTheme="majorHAnsi" w:hAnsiTheme="majorHAnsi" w:cstheme="majorHAnsi"/>
            <w:sz w:val="24"/>
            <w:szCs w:val="24"/>
          </w:rPr>
          <w:t>http://services.azre.gov/publicdatabase/SearchDevelopments.aspx</w:t>
        </w:r>
      </w:hyperlink>
      <w:r w:rsidR="00E248E3" w:rsidRPr="00802649">
        <w:rPr>
          <w:rFonts w:asciiTheme="majorHAnsi" w:hAnsiTheme="majorHAnsi" w:cstheme="majorHAnsi"/>
          <w:sz w:val="24"/>
          <w:szCs w:val="24"/>
        </w:rPr>
        <w:t>)</w:t>
      </w:r>
    </w:p>
    <w:p w14:paraId="7E386484" w14:textId="77777777" w:rsidR="00E248E3" w:rsidRPr="00802649" w:rsidRDefault="00E248E3">
      <w:pPr>
        <w:rPr>
          <w:rFonts w:asciiTheme="majorHAnsi" w:hAnsiTheme="majorHAnsi" w:cstheme="majorHAnsi"/>
          <w:sz w:val="24"/>
          <w:szCs w:val="24"/>
        </w:rPr>
      </w:pPr>
    </w:p>
    <w:p w14:paraId="54752898" w14:textId="77777777" w:rsidR="00D71EE4" w:rsidRDefault="00D71EE4" w:rsidP="00862BA2">
      <w:pPr>
        <w:rPr>
          <w:rFonts w:asciiTheme="majorHAnsi" w:hAnsiTheme="majorHAnsi" w:cstheme="majorHAnsi"/>
          <w:b/>
          <w:sz w:val="24"/>
          <w:szCs w:val="24"/>
        </w:rPr>
      </w:pPr>
    </w:p>
    <w:p w14:paraId="2DA326D0" w14:textId="77777777" w:rsidR="00D71EE4" w:rsidRDefault="00D71EE4" w:rsidP="00862BA2">
      <w:pPr>
        <w:rPr>
          <w:rFonts w:asciiTheme="majorHAnsi" w:hAnsiTheme="majorHAnsi" w:cstheme="majorHAnsi"/>
          <w:b/>
          <w:sz w:val="24"/>
          <w:szCs w:val="24"/>
        </w:rPr>
      </w:pPr>
    </w:p>
    <w:p w14:paraId="6714BA00" w14:textId="483B6070"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Illegal Subdivisions Acting in Concert</w:t>
      </w:r>
    </w:p>
    <w:p w14:paraId="213073EF"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In addition, you should be aware of “red flags” which may indicate illegal subdividing of property.  These may include:</w:t>
      </w:r>
    </w:p>
    <w:p w14:paraId="5ADC5ACF"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“Too good to be true” financing offers</w:t>
      </w:r>
    </w:p>
    <w:p w14:paraId="52949FE0"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Monies paid out of escrow</w:t>
      </w:r>
    </w:p>
    <w:p w14:paraId="2AC624B3"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Lot release provisions</w:t>
      </w:r>
    </w:p>
    <w:p w14:paraId="0E7AB614" w14:textId="77777777" w:rsidR="00E257D7" w:rsidRPr="000E4D2F" w:rsidRDefault="00E257D7" w:rsidP="003120B8">
      <w:pPr>
        <w:pStyle w:val="ListParagraph"/>
        <w:numPr>
          <w:ilvl w:val="0"/>
          <w:numId w:val="3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4A7E8F2" w14:textId="77777777" w:rsidR="00E257D7" w:rsidRPr="00802649" w:rsidRDefault="00E257D7" w:rsidP="00862BA2">
      <w:pPr>
        <w:rPr>
          <w:rFonts w:asciiTheme="majorHAnsi" w:hAnsiTheme="majorHAnsi" w:cstheme="majorHAnsi"/>
          <w:sz w:val="24"/>
          <w:szCs w:val="24"/>
        </w:rPr>
      </w:pPr>
    </w:p>
    <w:p w14:paraId="08A050ED" w14:textId="77777777" w:rsidR="00E257D7" w:rsidRPr="00802649" w:rsidRDefault="00E257D7" w:rsidP="00862BA2">
      <w:pPr>
        <w:rPr>
          <w:rFonts w:asciiTheme="majorHAnsi" w:hAnsiTheme="majorHAnsi" w:cstheme="majorHAnsi"/>
          <w:b/>
          <w:sz w:val="24"/>
          <w:szCs w:val="24"/>
        </w:rPr>
      </w:pPr>
      <w:r w:rsidRPr="00802649">
        <w:rPr>
          <w:rFonts w:asciiTheme="majorHAnsi" w:hAnsiTheme="majorHAnsi" w:cstheme="majorHAnsi"/>
          <w:b/>
          <w:sz w:val="24"/>
          <w:szCs w:val="24"/>
        </w:rPr>
        <w:t>Other Statutory Disclosures</w:t>
      </w:r>
    </w:p>
    <w:p w14:paraId="094D52BE" w14:textId="77777777" w:rsidR="00E257D7" w:rsidRPr="00802649" w:rsidRDefault="00E257D7" w:rsidP="00862BA2">
      <w:pPr>
        <w:rPr>
          <w:rFonts w:asciiTheme="majorHAnsi" w:hAnsiTheme="majorHAnsi" w:cstheme="majorHAnsi"/>
          <w:sz w:val="24"/>
          <w:szCs w:val="24"/>
        </w:rPr>
      </w:pPr>
      <w:r w:rsidRPr="00802649">
        <w:rPr>
          <w:rFonts w:asciiTheme="majorHAnsi" w:hAnsiTheme="majorHAnsi" w:cstheme="majorHAnsi"/>
          <w:sz w:val="24"/>
          <w:szCs w:val="24"/>
        </w:rPr>
        <w:t>The following disclosures are also required by statute:</w:t>
      </w:r>
    </w:p>
    <w:p w14:paraId="766BF0CD" w14:textId="77777777"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Military airport disclosure (A.R.S. §28-8484): requires sellers of residential property to disclose if the property is located “in the vicinity of a military airport or ancillary military facility.”</w:t>
      </w:r>
    </w:p>
    <w:p w14:paraId="2601E801" w14:textId="77777777" w:rsidR="00E257D7" w:rsidRPr="00802649" w:rsidRDefault="00E257D7" w:rsidP="00862BA2">
      <w:pPr>
        <w:pStyle w:val="ListParagraph"/>
        <w:rPr>
          <w:rFonts w:asciiTheme="majorHAnsi" w:hAnsiTheme="majorHAnsi" w:cstheme="majorHAnsi"/>
          <w:sz w:val="24"/>
          <w:szCs w:val="24"/>
        </w:rPr>
      </w:pPr>
    </w:p>
    <w:p w14:paraId="322E27D6" w14:textId="77777777" w:rsidR="00E257D7" w:rsidRPr="00802649" w:rsidRDefault="00E257D7" w:rsidP="003120B8">
      <w:pPr>
        <w:pStyle w:val="ListParagraph"/>
        <w:numPr>
          <w:ilvl w:val="0"/>
          <w:numId w:val="21"/>
        </w:numPr>
        <w:rPr>
          <w:rFonts w:asciiTheme="majorHAnsi" w:hAnsiTheme="majorHAnsi" w:cstheme="majorHAnsi"/>
          <w:sz w:val="24"/>
          <w:szCs w:val="24"/>
        </w:rPr>
      </w:pPr>
      <w:r w:rsidRPr="00802649">
        <w:rPr>
          <w:rFonts w:asciiTheme="majorHAnsi" w:hAnsiTheme="majorHAnsi" w:cstheme="majorHAnsi"/>
          <w:sz w:val="24"/>
          <w:szCs w:val="24"/>
        </w:rPr>
        <w:t xml:space="preserve">Public airport information (A.R.S. §28-8486): if a residential property is located in the vicinity of a public airport, this must be disclosed to buyers.  For this purpose, a recorded map is available at the county </w:t>
      </w:r>
      <w:r w:rsidR="00E248E3" w:rsidRPr="00802649">
        <w:rPr>
          <w:rFonts w:asciiTheme="majorHAnsi" w:hAnsiTheme="majorHAnsi" w:cstheme="majorHAnsi"/>
          <w:sz w:val="24"/>
          <w:szCs w:val="24"/>
        </w:rPr>
        <w:t>recorder’s</w:t>
      </w:r>
      <w:r w:rsidRPr="00802649">
        <w:rPr>
          <w:rFonts w:asciiTheme="majorHAnsi" w:hAnsiTheme="majorHAnsi" w:cstheme="majorHAnsi"/>
          <w:sz w:val="24"/>
          <w:szCs w:val="24"/>
        </w:rPr>
        <w:t xml:space="preserve"> office.</w:t>
      </w:r>
      <w:r w:rsidR="00E248E3" w:rsidRPr="00802649">
        <w:rPr>
          <w:rFonts w:asciiTheme="majorHAnsi" w:hAnsiTheme="majorHAnsi" w:cstheme="majorHAnsi"/>
          <w:sz w:val="24"/>
          <w:szCs w:val="24"/>
        </w:rPr>
        <w:t xml:space="preserve"> (Sometimes referred to as a noise contour map)</w:t>
      </w:r>
    </w:p>
    <w:p w14:paraId="2FBAFC6F" w14:textId="77777777" w:rsidR="00E257D7" w:rsidRPr="00802649" w:rsidRDefault="00E257D7" w:rsidP="00862BA2">
      <w:pPr>
        <w:rPr>
          <w:rFonts w:asciiTheme="majorHAnsi" w:hAnsiTheme="majorHAnsi" w:cstheme="majorHAnsi"/>
          <w:b/>
          <w:sz w:val="24"/>
          <w:szCs w:val="24"/>
        </w:rPr>
      </w:pPr>
    </w:p>
    <w:p w14:paraId="3372F0F0" w14:textId="77777777" w:rsidR="00E257D7" w:rsidRPr="00802649" w:rsidRDefault="00E257D7" w:rsidP="00DC5382">
      <w:pPr>
        <w:rPr>
          <w:rFonts w:asciiTheme="majorHAnsi" w:hAnsiTheme="majorHAnsi" w:cstheme="majorHAnsi"/>
          <w:sz w:val="24"/>
          <w:szCs w:val="24"/>
        </w:rPr>
      </w:pPr>
    </w:p>
    <w:p w14:paraId="5B91ED05" w14:textId="77777777" w:rsidR="00E257D7" w:rsidRPr="00802649" w:rsidRDefault="00E257D7" w:rsidP="00DC5382">
      <w:pPr>
        <w:rPr>
          <w:rFonts w:asciiTheme="majorHAnsi" w:hAnsiTheme="majorHAnsi" w:cstheme="majorHAnsi"/>
          <w:b/>
          <w:color w:val="FF0000"/>
          <w:sz w:val="24"/>
          <w:szCs w:val="24"/>
        </w:rPr>
      </w:pPr>
    </w:p>
    <w:p w14:paraId="083EBDC0" w14:textId="77777777" w:rsidR="00E257D7" w:rsidRPr="00802649" w:rsidRDefault="00E257D7" w:rsidP="00DC5382">
      <w:pPr>
        <w:rPr>
          <w:rFonts w:asciiTheme="majorHAnsi" w:hAnsiTheme="majorHAnsi" w:cstheme="majorHAnsi"/>
          <w:b/>
          <w:color w:val="FF0000"/>
          <w:sz w:val="24"/>
          <w:szCs w:val="24"/>
        </w:rPr>
      </w:pPr>
    </w:p>
    <w:p w14:paraId="6A021590" w14:textId="77777777" w:rsidR="00E257D7" w:rsidRPr="00802649" w:rsidRDefault="00E257D7" w:rsidP="00DC5382">
      <w:pPr>
        <w:rPr>
          <w:rFonts w:asciiTheme="majorHAnsi" w:hAnsiTheme="majorHAnsi" w:cstheme="majorHAnsi"/>
          <w:b/>
          <w:color w:val="FF0000"/>
          <w:sz w:val="24"/>
          <w:szCs w:val="24"/>
        </w:rPr>
      </w:pPr>
    </w:p>
    <w:p w14:paraId="6D021299"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039056E5" w14:textId="77777777" w:rsidR="00E257D7" w:rsidRPr="00802649" w:rsidRDefault="00E257D7" w:rsidP="00D05E35">
      <w:pPr>
        <w:jc w:val="center"/>
        <w:rPr>
          <w:rFonts w:asciiTheme="majorHAnsi" w:hAnsiTheme="majorHAnsi" w:cstheme="majorHAnsi"/>
          <w:b/>
          <w:color w:val="FF0000"/>
          <w:sz w:val="72"/>
          <w:szCs w:val="72"/>
        </w:rPr>
      </w:pPr>
    </w:p>
    <w:p w14:paraId="53624477"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14:paraId="7BE968B0"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72"/>
          <w:szCs w:val="72"/>
        </w:rPr>
      </w:pPr>
      <w:r w:rsidRPr="00802649">
        <w:rPr>
          <w:rFonts w:asciiTheme="majorHAnsi" w:hAnsiTheme="majorHAnsi" w:cstheme="majorHAnsi"/>
          <w:b/>
          <w:sz w:val="72"/>
          <w:szCs w:val="72"/>
        </w:rPr>
        <w:t>Unit 2: Due Diligence</w:t>
      </w:r>
    </w:p>
    <w:p w14:paraId="44621183" w14:textId="77777777" w:rsidR="00E257D7" w:rsidRPr="00802649" w:rsidRDefault="00E257D7" w:rsidP="00D05E3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ajorHAnsi" w:hAnsiTheme="majorHAnsi" w:cstheme="majorHAnsi"/>
          <w:b/>
          <w:sz w:val="28"/>
          <w:szCs w:val="28"/>
        </w:rPr>
      </w:pPr>
    </w:p>
    <w:p w14:paraId="0146A5E3" w14:textId="77777777" w:rsidR="00E257D7" w:rsidRPr="00802649" w:rsidRDefault="00277FEA" w:rsidP="00D05E35">
      <w:pPr>
        <w:jc w:val="center"/>
        <w:rPr>
          <w:rFonts w:asciiTheme="majorHAnsi" w:hAnsiTheme="majorHAnsi" w:cstheme="majorHAnsi"/>
          <w:b/>
          <w:sz w:val="72"/>
          <w:szCs w:val="72"/>
        </w:rPr>
      </w:pPr>
      <w:r w:rsidRPr="00802649">
        <w:rPr>
          <w:rFonts w:asciiTheme="majorHAnsi" w:hAnsiTheme="majorHAnsi" w:cstheme="majorHAnsi"/>
          <w:b/>
          <w:noProof/>
          <w:sz w:val="72"/>
          <w:szCs w:val="72"/>
          <w:bdr w:val="single" w:sz="12" w:space="0" w:color="auto"/>
        </w:rPr>
        <w:drawing>
          <wp:inline distT="0" distB="0" distL="0" distR="0" wp14:anchorId="304C21B5" wp14:editId="73B5F53E">
            <wp:extent cx="2826385" cy="34321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826385" cy="3432175"/>
                    </a:xfrm>
                    <a:prstGeom prst="rect">
                      <a:avLst/>
                    </a:prstGeom>
                    <a:noFill/>
                    <a:ln w="9525">
                      <a:noFill/>
                      <a:miter lim="800000"/>
                      <a:headEnd/>
                      <a:tailEnd/>
                    </a:ln>
                  </pic:spPr>
                </pic:pic>
              </a:graphicData>
            </a:graphic>
          </wp:inline>
        </w:drawing>
      </w:r>
    </w:p>
    <w:p w14:paraId="0E569A09" w14:textId="77777777" w:rsidR="00E257D7" w:rsidRPr="00802649" w:rsidRDefault="00E257D7" w:rsidP="00D05E35">
      <w:pPr>
        <w:rPr>
          <w:rFonts w:asciiTheme="majorHAnsi" w:hAnsiTheme="majorHAnsi" w:cstheme="majorHAnsi"/>
          <w:b/>
          <w:sz w:val="24"/>
          <w:szCs w:val="24"/>
        </w:rPr>
      </w:pPr>
    </w:p>
    <w:p w14:paraId="2B5FF0F6" w14:textId="77777777" w:rsidR="00E257D7" w:rsidRPr="00802649" w:rsidRDefault="00E257D7" w:rsidP="00D05E35">
      <w:pPr>
        <w:rPr>
          <w:rFonts w:asciiTheme="majorHAnsi" w:hAnsiTheme="majorHAnsi" w:cstheme="majorHAnsi"/>
          <w:b/>
          <w:sz w:val="24"/>
          <w:szCs w:val="24"/>
        </w:rPr>
      </w:pPr>
    </w:p>
    <w:p w14:paraId="1AABDA5C" w14:textId="77777777" w:rsidR="00E257D7" w:rsidRPr="00802649" w:rsidRDefault="00E257D7" w:rsidP="00D05E35">
      <w:pPr>
        <w:rPr>
          <w:rFonts w:asciiTheme="majorHAnsi" w:hAnsiTheme="majorHAnsi" w:cstheme="majorHAnsi"/>
          <w:b/>
          <w:sz w:val="24"/>
          <w:szCs w:val="24"/>
        </w:rPr>
      </w:pPr>
    </w:p>
    <w:p w14:paraId="4DE4B41B"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59DE463D" w14:textId="77777777" w:rsidR="00E257D7" w:rsidRPr="000E4D2F" w:rsidRDefault="00E257D7" w:rsidP="00D05E35">
      <w:pPr>
        <w:pStyle w:val="Heading1"/>
        <w:rPr>
          <w:rFonts w:asciiTheme="majorHAnsi" w:hAnsiTheme="majorHAnsi" w:cstheme="majorHAnsi"/>
          <w:i/>
          <w:color w:val="auto"/>
          <w:sz w:val="32"/>
          <w:szCs w:val="32"/>
        </w:rPr>
      </w:pPr>
      <w:bookmarkStart w:id="25" w:name="_Toc65239070"/>
      <w:r w:rsidRPr="000E4D2F">
        <w:rPr>
          <w:rFonts w:asciiTheme="majorHAnsi" w:hAnsiTheme="majorHAnsi" w:cstheme="majorHAnsi"/>
          <w:color w:val="auto"/>
          <w:sz w:val="32"/>
          <w:szCs w:val="32"/>
        </w:rPr>
        <w:lastRenderedPageBreak/>
        <w:t xml:space="preserve">Unit 2, Segment 1: Due Diligence and the </w:t>
      </w:r>
      <w:r w:rsidRPr="000E4D2F">
        <w:rPr>
          <w:rFonts w:asciiTheme="majorHAnsi" w:hAnsiTheme="majorHAnsi" w:cstheme="majorHAnsi"/>
          <w:i/>
          <w:color w:val="auto"/>
          <w:sz w:val="32"/>
          <w:szCs w:val="32"/>
        </w:rPr>
        <w:t>Buyer Advisory</w:t>
      </w:r>
      <w:bookmarkEnd w:id="25"/>
    </w:p>
    <w:p w14:paraId="3F396CD3" w14:textId="77777777" w:rsidR="00E257D7" w:rsidRPr="00802649" w:rsidRDefault="00E257D7" w:rsidP="00D05E35">
      <w:pPr>
        <w:rPr>
          <w:rFonts w:asciiTheme="majorHAnsi" w:hAnsiTheme="majorHAnsi" w:cstheme="majorHAnsi"/>
          <w:b/>
          <w:i/>
          <w:color w:val="FF0000"/>
          <w:sz w:val="24"/>
          <w:szCs w:val="24"/>
        </w:rPr>
      </w:pPr>
    </w:p>
    <w:p w14:paraId="1910AC41" w14:textId="77777777" w:rsidR="00E257D7" w:rsidRPr="000E4D2F" w:rsidRDefault="00E257D7" w:rsidP="00D05E35">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15 minutes for this segment</w:t>
      </w:r>
    </w:p>
    <w:p w14:paraId="2FACE5AC" w14:textId="77777777" w:rsidR="00E257D7" w:rsidRPr="00802649" w:rsidRDefault="00E257D7" w:rsidP="00D05E35">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6C5D5D7" w14:textId="77777777" w:rsidR="00500D58" w:rsidRDefault="00E257D7" w:rsidP="00500D58">
      <w:pPr>
        <w:pStyle w:val="ListParagraph"/>
        <w:numPr>
          <w:ilvl w:val="0"/>
          <w:numId w:val="17"/>
        </w:numPr>
        <w:rPr>
          <w:rFonts w:asciiTheme="majorHAnsi" w:hAnsiTheme="majorHAnsi" w:cstheme="majorHAnsi"/>
          <w:vanish/>
          <w:color w:val="4F81BD" w:themeColor="accent1"/>
          <w:sz w:val="24"/>
          <w:szCs w:val="24"/>
        </w:rPr>
      </w:pPr>
      <w:r w:rsidRPr="00802649">
        <w:rPr>
          <w:rFonts w:asciiTheme="majorHAnsi" w:hAnsiTheme="majorHAnsi" w:cstheme="majorHAnsi"/>
          <w:sz w:val="24"/>
          <w:szCs w:val="24"/>
        </w:rPr>
        <w:t xml:space="preserve">To explain the use of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in assisting buyers with due diligence inspections and investigations.</w:t>
      </w:r>
    </w:p>
    <w:p w14:paraId="2047773F" w14:textId="14E8C878" w:rsidR="00500D58" w:rsidRPr="00500D58" w:rsidRDefault="00CA59D5" w:rsidP="00500D58">
      <w:pPr>
        <w:pStyle w:val="ListParagraph"/>
        <w:ind w:left="180"/>
        <w:rPr>
          <w:rFonts w:asciiTheme="majorHAnsi" w:hAnsiTheme="majorHAnsi" w:cstheme="majorHAnsi"/>
          <w:vanish/>
          <w:color w:val="4F81BD" w:themeColor="accent1"/>
          <w:sz w:val="24"/>
          <w:szCs w:val="24"/>
        </w:rPr>
      </w:pPr>
      <w:r>
        <w:rPr>
          <w:vanish/>
          <w:color w:val="4F81BD" w:themeColor="accent1"/>
          <w:sz w:val="24"/>
          <w:szCs w:val="24"/>
        </w:rPr>
        <w:t xml:space="preserve">ZOOM:  POLL:  </w:t>
      </w:r>
      <w:r w:rsidR="00500D58" w:rsidRPr="00500D58">
        <w:rPr>
          <w:vanish/>
          <w:color w:val="4F81BD" w:themeColor="accent1"/>
          <w:sz w:val="24"/>
          <w:szCs w:val="24"/>
        </w:rPr>
        <w:t>Which of the following is not covered in the Buyer Advisory?</w:t>
      </w:r>
    </w:p>
    <w:p w14:paraId="70B67DDB"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Crime Statistics</w:t>
      </w:r>
    </w:p>
    <w:p w14:paraId="24072FD3"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Fair Housing</w:t>
      </w:r>
    </w:p>
    <w:p w14:paraId="42C26F78"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Market Conditions</w:t>
      </w:r>
    </w:p>
    <w:p w14:paraId="383B22D0" w14:textId="77777777" w:rsidR="00500D58" w:rsidRPr="00500D58" w:rsidRDefault="00500D58" w:rsidP="00500D58">
      <w:pPr>
        <w:pStyle w:val="ListParagraph"/>
        <w:numPr>
          <w:ilvl w:val="0"/>
          <w:numId w:val="17"/>
        </w:numPr>
        <w:rPr>
          <w:vanish/>
          <w:color w:val="4F81BD" w:themeColor="accent1"/>
          <w:sz w:val="24"/>
          <w:szCs w:val="24"/>
        </w:rPr>
      </w:pPr>
      <w:r w:rsidRPr="00500D58">
        <w:rPr>
          <w:vanish/>
          <w:color w:val="4F81BD" w:themeColor="accent1"/>
          <w:sz w:val="24"/>
          <w:szCs w:val="24"/>
        </w:rPr>
        <w:t>1031 Exchanges</w:t>
      </w:r>
    </w:p>
    <w:p w14:paraId="2192BBC2" w14:textId="09CAEB8F" w:rsidR="00E257D7" w:rsidRDefault="00E257D7" w:rsidP="00C654D9">
      <w:pPr>
        <w:rPr>
          <w:rFonts w:asciiTheme="majorHAnsi" w:hAnsiTheme="majorHAnsi" w:cstheme="majorHAnsi"/>
          <w:b/>
          <w:sz w:val="24"/>
          <w:szCs w:val="24"/>
        </w:rPr>
      </w:pPr>
    </w:p>
    <w:p w14:paraId="48BB90E9" w14:textId="77777777" w:rsidR="00DC009E" w:rsidRPr="00802649" w:rsidRDefault="00DC009E" w:rsidP="00C654D9">
      <w:pPr>
        <w:rPr>
          <w:rFonts w:asciiTheme="majorHAnsi" w:hAnsiTheme="majorHAnsi" w:cstheme="majorHAnsi"/>
          <w:b/>
          <w:sz w:val="24"/>
          <w:szCs w:val="24"/>
        </w:rPr>
      </w:pPr>
    </w:p>
    <w:p w14:paraId="1539D0F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In general, what risks are associated with the due diligence period?</w:t>
      </w:r>
    </w:p>
    <w:p w14:paraId="6612D5F1" w14:textId="77777777" w:rsidR="000E4D2F"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allow enough time for inspections</w:t>
      </w:r>
    </w:p>
    <w:p w14:paraId="7BA6778F"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qualified inspectors</w:t>
      </w:r>
    </w:p>
    <w:p w14:paraId="3C459033"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review and understand important documents related to the transaction</w:t>
      </w:r>
    </w:p>
    <w:p w14:paraId="53B9DA0E"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property conditions</w:t>
      </w:r>
    </w:p>
    <w:p w14:paraId="1BEF29A6" w14:textId="77777777" w:rsidR="00E257D7" w:rsidRPr="000E4D2F" w:rsidRDefault="00E257D7" w:rsidP="003120B8">
      <w:pPr>
        <w:pStyle w:val="ListParagraph"/>
        <w:numPr>
          <w:ilvl w:val="0"/>
          <w:numId w:val="4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account for surrounding area conditions</w:t>
      </w:r>
    </w:p>
    <w:p w14:paraId="411D819F" w14:textId="5EB30AD1" w:rsidR="00E257D7" w:rsidRDefault="00E257D7" w:rsidP="00C654D9">
      <w:pPr>
        <w:rPr>
          <w:rFonts w:asciiTheme="majorHAnsi" w:hAnsiTheme="majorHAnsi" w:cstheme="majorHAnsi"/>
          <w:sz w:val="24"/>
          <w:szCs w:val="24"/>
        </w:rPr>
      </w:pPr>
    </w:p>
    <w:p w14:paraId="15B2DB68" w14:textId="0997D257" w:rsidR="00DC009E" w:rsidRDefault="00DC009E" w:rsidP="00C654D9">
      <w:pPr>
        <w:rPr>
          <w:rFonts w:asciiTheme="majorHAnsi" w:hAnsiTheme="majorHAnsi" w:cstheme="majorHAnsi"/>
          <w:sz w:val="24"/>
          <w:szCs w:val="24"/>
        </w:rPr>
      </w:pPr>
    </w:p>
    <w:p w14:paraId="206D17DE" w14:textId="77777777" w:rsidR="00DC009E" w:rsidRPr="00802649" w:rsidRDefault="00DC009E" w:rsidP="00C654D9">
      <w:pPr>
        <w:rPr>
          <w:rFonts w:asciiTheme="majorHAnsi" w:hAnsiTheme="majorHAnsi" w:cstheme="majorHAnsi"/>
          <w:sz w:val="24"/>
          <w:szCs w:val="24"/>
        </w:rPr>
      </w:pPr>
    </w:p>
    <w:p w14:paraId="2402931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What is the significance of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w:t>
      </w:r>
    </w:p>
    <w:p w14:paraId="11D0D902" w14:textId="77777777" w:rsidR="00E257D7" w:rsidRPr="000E4D2F" w:rsidRDefault="00E257D7" w:rsidP="003120B8">
      <w:pPr>
        <w:pStyle w:val="ListParagraph"/>
        <w:numPr>
          <w:ilvl w:val="0"/>
          <w:numId w:val="41"/>
        </w:numPr>
        <w:rPr>
          <w:rFonts w:asciiTheme="majorHAnsi" w:hAnsiTheme="majorHAnsi" w:cstheme="majorHAnsi"/>
          <w:color w:val="FF0000"/>
          <w:sz w:val="24"/>
          <w:szCs w:val="24"/>
        </w:rPr>
      </w:pPr>
      <w:r w:rsidRPr="000E4D2F">
        <w:rPr>
          <w:rFonts w:asciiTheme="majorHAnsi" w:hAnsiTheme="majorHAnsi" w:cstheme="majorHAnsi"/>
          <w:b/>
          <w:i/>
          <w:vanish/>
          <w:color w:val="FF0000"/>
          <w:sz w:val="24"/>
          <w:szCs w:val="24"/>
        </w:rPr>
        <w:t xml:space="preserve">Just as the seller has a duty to disclose, the buyer has a duty to satisfy themselves as to the condition of a property.  The Buyer Advisory was created, in part, to combat efforts to expand broker duties and liabilities related to inspection and discovery. </w:t>
      </w:r>
      <w:r w:rsidRPr="000E4D2F">
        <w:rPr>
          <w:rFonts w:asciiTheme="majorHAnsi" w:hAnsiTheme="majorHAnsi" w:cstheme="majorHAnsi"/>
          <w:color w:val="FF0000"/>
          <w:sz w:val="24"/>
          <w:szCs w:val="24"/>
        </w:rPr>
        <w:t xml:space="preserve">  </w:t>
      </w:r>
    </w:p>
    <w:p w14:paraId="1421CF70" w14:textId="77777777" w:rsidR="00E257D7" w:rsidRPr="00802649" w:rsidRDefault="00E257D7" w:rsidP="00C654D9">
      <w:pPr>
        <w:pStyle w:val="ListParagraph"/>
        <w:rPr>
          <w:rFonts w:asciiTheme="majorHAnsi" w:hAnsiTheme="majorHAnsi" w:cstheme="majorHAnsi"/>
          <w:color w:val="FF0000"/>
          <w:sz w:val="24"/>
          <w:szCs w:val="24"/>
        </w:rPr>
      </w:pPr>
    </w:p>
    <w:p w14:paraId="701FA785" w14:textId="77777777" w:rsidR="00E257D7" w:rsidRPr="00802649" w:rsidRDefault="00E257D7" w:rsidP="00C654D9">
      <w:pPr>
        <w:pStyle w:val="ListParagraph"/>
        <w:rPr>
          <w:rFonts w:asciiTheme="majorHAnsi" w:hAnsiTheme="majorHAnsi" w:cstheme="majorHAnsi"/>
          <w:color w:val="FF0000"/>
          <w:sz w:val="24"/>
          <w:szCs w:val="24"/>
        </w:rPr>
      </w:pPr>
    </w:p>
    <w:p w14:paraId="096A7D20"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Buyers must share some responsibility for evaluating the condition of a property prior to purchase – this cuts down on disputes between buyers </w:t>
      </w:r>
      <w:r w:rsidRPr="000E4D2F">
        <w:rPr>
          <w:rFonts w:asciiTheme="majorHAnsi" w:hAnsiTheme="majorHAnsi" w:cstheme="majorHAnsi"/>
          <w:b/>
          <w:i/>
          <w:vanish/>
          <w:color w:val="FF0000"/>
          <w:sz w:val="24"/>
          <w:szCs w:val="24"/>
        </w:rPr>
        <w:lastRenderedPageBreak/>
        <w:t>and sellers regarding the condition of a property, buyer claims of negligent misrepresentation, etc.</w:t>
      </w:r>
    </w:p>
    <w:p w14:paraId="554EE600"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REALTORS® are not licensed inspectors; the Buyer Advisory aids buyers in seeking out qualified professionals to perform needed inspections and investigations.  It also contains important resources for buyers to identify areas of concern and access important information such as tax records, insurance claims history, zoning information and much more.</w:t>
      </w:r>
    </w:p>
    <w:p w14:paraId="4EDA82BD" w14:textId="77777777" w:rsidR="00E257D7" w:rsidRPr="00802649" w:rsidRDefault="00E257D7" w:rsidP="00C654D9">
      <w:pPr>
        <w:pStyle w:val="ListParagraph"/>
        <w:rPr>
          <w:rFonts w:asciiTheme="majorHAnsi" w:hAnsiTheme="majorHAnsi" w:cstheme="majorHAnsi"/>
          <w:color w:val="FF0000"/>
          <w:sz w:val="24"/>
          <w:szCs w:val="24"/>
        </w:rPr>
      </w:pPr>
    </w:p>
    <w:p w14:paraId="2FD6665A" w14:textId="77777777" w:rsidR="00E257D7" w:rsidRPr="00802649" w:rsidRDefault="00E257D7" w:rsidP="00C654D9">
      <w:pPr>
        <w:pStyle w:val="ListParagraph"/>
        <w:rPr>
          <w:rFonts w:asciiTheme="majorHAnsi" w:hAnsiTheme="majorHAnsi" w:cstheme="majorHAnsi"/>
          <w:color w:val="FF0000"/>
          <w:sz w:val="24"/>
          <w:szCs w:val="24"/>
        </w:rPr>
      </w:pPr>
    </w:p>
    <w:p w14:paraId="4F214E6E" w14:textId="77777777" w:rsidR="00E257D7" w:rsidRPr="000E4D2F" w:rsidRDefault="00E257D7" w:rsidP="003120B8">
      <w:pPr>
        <w:pStyle w:val="ListParagraph"/>
        <w:numPr>
          <w:ilvl w:val="0"/>
          <w:numId w:val="4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When deciding disputes between buyers and sellers regarding property defects, courts often place great weight on whether or not the buyers inspected the property.  By making a thorough inspection of documents, physical conditions, and conditions affecting the surrounding area prior to closing, buyers can protect themselves in the event of a dispute after the sale.</w:t>
      </w:r>
    </w:p>
    <w:p w14:paraId="4BCAB398" w14:textId="77777777" w:rsidR="00E257D7" w:rsidRPr="00802649" w:rsidRDefault="00E257D7" w:rsidP="00C654D9">
      <w:pPr>
        <w:rPr>
          <w:rFonts w:asciiTheme="majorHAnsi" w:hAnsiTheme="majorHAnsi" w:cstheme="majorHAnsi"/>
          <w:sz w:val="24"/>
          <w:szCs w:val="24"/>
        </w:rPr>
      </w:pPr>
    </w:p>
    <w:p w14:paraId="3A589BB2"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7459CE75" w14:textId="77777777" w:rsidR="00E257D7" w:rsidRPr="000E4D2F" w:rsidRDefault="00E257D7" w:rsidP="00C654D9">
      <w:pPr>
        <w:pStyle w:val="Heading1"/>
        <w:rPr>
          <w:rFonts w:asciiTheme="majorHAnsi" w:hAnsiTheme="majorHAnsi" w:cstheme="majorHAnsi"/>
          <w:color w:val="auto"/>
          <w:sz w:val="32"/>
          <w:szCs w:val="32"/>
        </w:rPr>
      </w:pPr>
      <w:bookmarkStart w:id="26" w:name="_Toc65239071"/>
      <w:r w:rsidRPr="000E4D2F">
        <w:rPr>
          <w:rFonts w:asciiTheme="majorHAnsi" w:hAnsiTheme="majorHAnsi" w:cstheme="majorHAnsi"/>
          <w:color w:val="auto"/>
          <w:sz w:val="32"/>
          <w:szCs w:val="32"/>
        </w:rPr>
        <w:lastRenderedPageBreak/>
        <w:t>Unit 2, Segment 2: Document Review</w:t>
      </w:r>
      <w:bookmarkEnd w:id="26"/>
    </w:p>
    <w:p w14:paraId="345253B1" w14:textId="77777777" w:rsidR="00E257D7" w:rsidRPr="00802649" w:rsidRDefault="00E257D7" w:rsidP="00C654D9">
      <w:pPr>
        <w:rPr>
          <w:rFonts w:asciiTheme="majorHAnsi" w:hAnsiTheme="majorHAnsi" w:cstheme="majorHAnsi"/>
          <w:b/>
          <w:i/>
          <w:color w:val="FF0000"/>
          <w:sz w:val="24"/>
          <w:szCs w:val="24"/>
        </w:rPr>
      </w:pPr>
    </w:p>
    <w:p w14:paraId="55618A70"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30 minutes total for this segment</w:t>
      </w:r>
    </w:p>
    <w:p w14:paraId="1A08BC1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5C236F54"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review important documents related to the transaction</w:t>
      </w:r>
    </w:p>
    <w:p w14:paraId="5672C839" w14:textId="77777777" w:rsidR="00602643" w:rsidRDefault="00602643" w:rsidP="00C654D9">
      <w:pPr>
        <w:rPr>
          <w:rFonts w:asciiTheme="majorHAnsi" w:hAnsiTheme="majorHAnsi" w:cstheme="majorHAnsi"/>
          <w:b/>
          <w:sz w:val="24"/>
          <w:szCs w:val="24"/>
        </w:rPr>
      </w:pPr>
    </w:p>
    <w:p w14:paraId="0C78235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Risk Identification</w:t>
      </w:r>
    </w:p>
    <w:p w14:paraId="77F00137" w14:textId="77777777" w:rsidR="00820BA5"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valuable information for buyers concerning documents that should be reviewed during the due diligence period.  Better-educated buyers reduce your risk and theirs by equipping themselves with the information necessary to thoroughly and effectively investigate a property.  Identify the potential risks </w:t>
      </w:r>
      <w:r w:rsidR="00820BA5">
        <w:rPr>
          <w:rFonts w:asciiTheme="majorHAnsi" w:hAnsiTheme="majorHAnsi" w:cstheme="majorHAnsi"/>
          <w:sz w:val="24"/>
          <w:szCs w:val="24"/>
        </w:rPr>
        <w:t xml:space="preserve">associated with reviewing the following documents: </w:t>
      </w:r>
      <w:r w:rsidRPr="00802649">
        <w:rPr>
          <w:rFonts w:asciiTheme="majorHAnsi" w:hAnsiTheme="majorHAnsi" w:cstheme="majorHAnsi"/>
          <w:sz w:val="24"/>
          <w:szCs w:val="24"/>
        </w:rPr>
        <w:t xml:space="preserve"> </w:t>
      </w:r>
    </w:p>
    <w:p w14:paraId="6D1AC846" w14:textId="77777777" w:rsidR="00CE795C" w:rsidRDefault="00CE795C" w:rsidP="00C654D9">
      <w:pPr>
        <w:rPr>
          <w:rFonts w:asciiTheme="majorHAnsi" w:hAnsiTheme="majorHAnsi" w:cstheme="majorHAnsi"/>
          <w:b/>
          <w:sz w:val="24"/>
          <w:szCs w:val="24"/>
        </w:rPr>
      </w:pPr>
    </w:p>
    <w:p w14:paraId="63AF05D0" w14:textId="2B4E4F79" w:rsidR="00CE795C" w:rsidRPr="00CE795C" w:rsidRDefault="00CE795C" w:rsidP="00C654D9">
      <w:pPr>
        <w:rPr>
          <w:rFonts w:asciiTheme="majorHAnsi" w:hAnsiTheme="majorHAnsi" w:cstheme="majorHAnsi"/>
          <w:b/>
          <w:vanish/>
          <w:color w:val="548DD4" w:themeColor="text2" w:themeTint="99"/>
          <w:sz w:val="24"/>
          <w:szCs w:val="24"/>
        </w:rPr>
      </w:pPr>
      <w:r w:rsidRPr="00CE795C">
        <w:rPr>
          <w:rFonts w:asciiTheme="majorHAnsi" w:hAnsiTheme="majorHAnsi" w:cstheme="majorHAnsi"/>
          <w:b/>
          <w:vanish/>
          <w:color w:val="548DD4" w:themeColor="text2" w:themeTint="99"/>
          <w:sz w:val="24"/>
          <w:szCs w:val="24"/>
        </w:rPr>
        <w:t>B/O Room:  General nature:  identify 3-5 potential risks with buyer not completely reviewing these documents</w:t>
      </w:r>
      <w:r w:rsidR="006E42A0">
        <w:rPr>
          <w:rFonts w:asciiTheme="majorHAnsi" w:hAnsiTheme="majorHAnsi" w:cstheme="majorHAnsi"/>
          <w:b/>
          <w:vanish/>
          <w:color w:val="548DD4" w:themeColor="text2" w:themeTint="99"/>
          <w:sz w:val="24"/>
          <w:szCs w:val="24"/>
        </w:rPr>
        <w:t xml:space="preserve"> </w:t>
      </w:r>
    </w:p>
    <w:p w14:paraId="4D6B818F" w14:textId="22BDBAA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Purchase Contract:</w:t>
      </w:r>
    </w:p>
    <w:p w14:paraId="3056180D"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Buyer’s assertion their broker didn’t tell them what the contract said</w:t>
      </w:r>
    </w:p>
    <w:p w14:paraId="71E5810A"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contractual obligations</w:t>
      </w:r>
    </w:p>
    <w:p w14:paraId="0C944011"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their legal rights</w:t>
      </w:r>
    </w:p>
    <w:p w14:paraId="2E6A8127" w14:textId="77777777" w:rsidR="00E257D7" w:rsidRPr="000E4D2F" w:rsidRDefault="00E257D7" w:rsidP="003120B8">
      <w:pPr>
        <w:pStyle w:val="ListParagraph"/>
        <w:numPr>
          <w:ilvl w:val="0"/>
          <w:numId w:val="4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46E978C1" w14:textId="13DBCE43" w:rsidR="00D71EE4" w:rsidRDefault="00CE795C" w:rsidP="00C654D9">
      <w:pPr>
        <w:rPr>
          <w:rFonts w:asciiTheme="majorHAnsi" w:hAnsiTheme="majorHAnsi" w:cstheme="majorHAnsi"/>
          <w:b/>
          <w:sz w:val="24"/>
          <w:szCs w:val="24"/>
        </w:rPr>
      </w:pPr>
      <w:r>
        <w:rPr>
          <w:rFonts w:asciiTheme="majorHAnsi" w:hAnsiTheme="majorHAnsi" w:cstheme="majorHAnsi"/>
          <w:b/>
          <w:sz w:val="24"/>
          <w:szCs w:val="24"/>
        </w:rPr>
        <w:t xml:space="preserve">Best </w:t>
      </w:r>
      <w:proofErr w:type="gramStart"/>
      <w:r>
        <w:rPr>
          <w:rFonts w:asciiTheme="majorHAnsi" w:hAnsiTheme="majorHAnsi" w:cstheme="majorHAnsi"/>
          <w:b/>
          <w:sz w:val="24"/>
          <w:szCs w:val="24"/>
        </w:rPr>
        <w:t>Practice:_</w:t>
      </w:r>
      <w:proofErr w:type="gramEnd"/>
      <w:r>
        <w:rPr>
          <w:rFonts w:asciiTheme="majorHAnsi" w:hAnsiTheme="majorHAnsi" w:cstheme="majorHAnsi"/>
          <w:b/>
          <w:sz w:val="24"/>
          <w:szCs w:val="24"/>
        </w:rPr>
        <w:t>_________________________________________________</w:t>
      </w:r>
    </w:p>
    <w:p w14:paraId="05CA57D0" w14:textId="607B9B3D" w:rsidR="00D71EE4" w:rsidRDefault="00CE795C" w:rsidP="00C654D9">
      <w:pPr>
        <w:rPr>
          <w:rFonts w:asciiTheme="majorHAnsi" w:hAnsiTheme="majorHAnsi" w:cstheme="majorHAnsi"/>
          <w:b/>
          <w:sz w:val="24"/>
          <w:szCs w:val="24"/>
        </w:rPr>
      </w:pPr>
      <w:r>
        <w:rPr>
          <w:rFonts w:asciiTheme="majorHAnsi" w:hAnsiTheme="majorHAnsi" w:cstheme="majorHAnsi"/>
          <w:b/>
          <w:sz w:val="24"/>
          <w:szCs w:val="24"/>
        </w:rPr>
        <w:t>______________________________________________________________</w:t>
      </w:r>
    </w:p>
    <w:p w14:paraId="3E9775EB"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MLS Printout:</w:t>
      </w:r>
    </w:p>
    <w:p w14:paraId="53938A6B"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MLS info</w:t>
      </w:r>
    </w:p>
    <w:p w14:paraId="5E3200BD"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realize MLS info is not part of purchase contract</w:t>
      </w:r>
    </w:p>
    <w:p w14:paraId="3F5332A5"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as exhibit in summons and complaint or other pleadings in a civil case</w:t>
      </w:r>
    </w:p>
    <w:p w14:paraId="75CAB190" w14:textId="77777777" w:rsidR="00E257D7" w:rsidRPr="000E4D2F" w:rsidRDefault="00E257D7" w:rsidP="003120B8">
      <w:pPr>
        <w:pStyle w:val="ListParagraph"/>
        <w:numPr>
          <w:ilvl w:val="0"/>
          <w:numId w:val="4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3629BD2E" w14:textId="77777777" w:rsidR="00CE795C" w:rsidRPr="00696E22" w:rsidRDefault="00CE795C" w:rsidP="00696E22">
      <w:pPr>
        <w:rPr>
          <w:rFonts w:asciiTheme="majorHAnsi" w:hAnsiTheme="majorHAnsi" w:cstheme="majorHAnsi"/>
          <w:b/>
          <w:sz w:val="24"/>
          <w:szCs w:val="24"/>
        </w:rPr>
      </w:pPr>
      <w:r w:rsidRPr="00696E22">
        <w:rPr>
          <w:rFonts w:asciiTheme="majorHAnsi" w:hAnsiTheme="majorHAnsi" w:cstheme="majorHAnsi"/>
          <w:b/>
          <w:sz w:val="24"/>
          <w:szCs w:val="24"/>
        </w:rPr>
        <w:t xml:space="preserve">Best </w:t>
      </w:r>
      <w:proofErr w:type="gramStart"/>
      <w:r w:rsidRPr="00696E22">
        <w:rPr>
          <w:rFonts w:asciiTheme="majorHAnsi" w:hAnsiTheme="majorHAnsi" w:cstheme="majorHAnsi"/>
          <w:b/>
          <w:sz w:val="24"/>
          <w:szCs w:val="24"/>
        </w:rPr>
        <w:t>Practice:_</w:t>
      </w:r>
      <w:proofErr w:type="gramEnd"/>
      <w:r w:rsidRPr="00696E22">
        <w:rPr>
          <w:rFonts w:asciiTheme="majorHAnsi" w:hAnsiTheme="majorHAnsi" w:cstheme="majorHAnsi"/>
          <w:b/>
          <w:sz w:val="24"/>
          <w:szCs w:val="24"/>
        </w:rPr>
        <w:t>_________________________________________________</w:t>
      </w:r>
    </w:p>
    <w:p w14:paraId="7A4B5ABC" w14:textId="77777777" w:rsidR="00CE795C" w:rsidRPr="00696E22" w:rsidRDefault="00CE795C" w:rsidP="00696E22">
      <w:pPr>
        <w:rPr>
          <w:rFonts w:asciiTheme="majorHAnsi" w:hAnsiTheme="majorHAnsi" w:cstheme="majorHAnsi"/>
          <w:b/>
          <w:sz w:val="24"/>
          <w:szCs w:val="24"/>
        </w:rPr>
      </w:pPr>
      <w:r w:rsidRPr="00696E22">
        <w:rPr>
          <w:rFonts w:asciiTheme="majorHAnsi" w:hAnsiTheme="majorHAnsi" w:cstheme="majorHAnsi"/>
          <w:b/>
          <w:sz w:val="24"/>
          <w:szCs w:val="24"/>
        </w:rPr>
        <w:t>______________________________________________________________</w:t>
      </w:r>
    </w:p>
    <w:p w14:paraId="7C0AE868" w14:textId="77777777" w:rsidR="00D71EE4" w:rsidRDefault="00D71EE4" w:rsidP="00C654D9">
      <w:pPr>
        <w:rPr>
          <w:rFonts w:asciiTheme="majorHAnsi" w:hAnsiTheme="majorHAnsi" w:cstheme="majorHAnsi"/>
          <w:b/>
          <w:sz w:val="24"/>
          <w:szCs w:val="24"/>
        </w:rPr>
      </w:pPr>
    </w:p>
    <w:p w14:paraId="4982CACD" w14:textId="77777777" w:rsidR="00D71EE4" w:rsidRDefault="00D71EE4" w:rsidP="00C654D9">
      <w:pPr>
        <w:rPr>
          <w:rFonts w:asciiTheme="majorHAnsi" w:hAnsiTheme="majorHAnsi" w:cstheme="majorHAnsi"/>
          <w:b/>
          <w:sz w:val="24"/>
          <w:szCs w:val="24"/>
        </w:rPr>
      </w:pPr>
    </w:p>
    <w:p w14:paraId="39AAFF67"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Subdivision Public Report:</w:t>
      </w:r>
    </w:p>
    <w:p w14:paraId="7014DF97"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Transactions involving illegal subdividing</w:t>
      </w:r>
    </w:p>
    <w:p w14:paraId="6BD2A781"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info in the Public Report</w:t>
      </w:r>
    </w:p>
    <w:p w14:paraId="0B70DF40"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limitations of use or occupancy</w:t>
      </w:r>
    </w:p>
    <w:p w14:paraId="04315692"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physical and environmental characteristics</w:t>
      </w:r>
    </w:p>
    <w:p w14:paraId="73D2DAFB" w14:textId="77777777" w:rsidR="00E257D7" w:rsidRPr="000E4D2F" w:rsidRDefault="00E257D7" w:rsidP="003120B8">
      <w:pPr>
        <w:pStyle w:val="ListParagraph"/>
        <w:numPr>
          <w:ilvl w:val="0"/>
          <w:numId w:val="4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1C487A8"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4B951C36"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55325C70" w14:textId="34221018" w:rsidR="00CE795C" w:rsidRDefault="00CE795C">
      <w:pPr>
        <w:rPr>
          <w:rFonts w:asciiTheme="majorHAnsi" w:hAnsiTheme="majorHAnsi" w:cstheme="majorHAnsi"/>
          <w:color w:val="FF0000"/>
          <w:sz w:val="24"/>
          <w:szCs w:val="24"/>
        </w:rPr>
      </w:pPr>
    </w:p>
    <w:p w14:paraId="19D029AF" w14:textId="61DBE48E" w:rsidR="006E42A0" w:rsidRDefault="006E42A0">
      <w:pPr>
        <w:rPr>
          <w:rFonts w:asciiTheme="majorHAnsi" w:hAnsiTheme="majorHAnsi" w:cstheme="majorHAnsi"/>
          <w:color w:val="FF0000"/>
          <w:sz w:val="24"/>
          <w:szCs w:val="24"/>
        </w:rPr>
      </w:pPr>
    </w:p>
    <w:p w14:paraId="138F8124" w14:textId="77777777" w:rsidR="00696E22" w:rsidRDefault="00696E22">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54233D13" w14:textId="406C3DE6"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lastRenderedPageBreak/>
        <w:t>Title Report or Title Commitment:</w:t>
      </w:r>
    </w:p>
    <w:p w14:paraId="66EADFEF"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Schedule B Exceptions</w:t>
      </w:r>
    </w:p>
    <w:p w14:paraId="5B9DD274"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the impact of Schedule B Exceptions on future property use</w:t>
      </w:r>
    </w:p>
    <w:p w14:paraId="509F84EE"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obtain needed professional advice</w:t>
      </w:r>
    </w:p>
    <w:p w14:paraId="12BB81AB" w14:textId="77777777" w:rsidR="006E42A0" w:rsidRPr="000E4D2F" w:rsidRDefault="006E42A0" w:rsidP="006E42A0">
      <w:pPr>
        <w:pStyle w:val="ListParagraph"/>
        <w:numPr>
          <w:ilvl w:val="0"/>
          <w:numId w:val="5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3E6A437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0DAB8EA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98CE674" w14:textId="77777777" w:rsidR="006E42A0" w:rsidRPr="00802649" w:rsidRDefault="006E42A0" w:rsidP="006E42A0">
      <w:pPr>
        <w:rPr>
          <w:rFonts w:asciiTheme="majorHAnsi" w:hAnsiTheme="majorHAnsi" w:cstheme="majorHAnsi"/>
          <w:sz w:val="24"/>
          <w:szCs w:val="24"/>
        </w:rPr>
      </w:pPr>
    </w:p>
    <w:p w14:paraId="7D71A9AF" w14:textId="77777777" w:rsidR="006E42A0" w:rsidRPr="00802649" w:rsidRDefault="006E42A0" w:rsidP="006E42A0">
      <w:pPr>
        <w:rPr>
          <w:rFonts w:asciiTheme="majorHAnsi" w:hAnsiTheme="majorHAnsi" w:cstheme="majorHAnsi"/>
          <w:sz w:val="24"/>
          <w:szCs w:val="24"/>
        </w:rPr>
      </w:pPr>
    </w:p>
    <w:p w14:paraId="0C878B99"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Loan Documents:</w:t>
      </w:r>
    </w:p>
    <w:p w14:paraId="47032B26"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Insufficient time to secure financing</w:t>
      </w:r>
    </w:p>
    <w:p w14:paraId="5F9B1DFB"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financing obligations</w:t>
      </w:r>
    </w:p>
    <w:p w14:paraId="5CDA0378"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submit proper documentation</w:t>
      </w:r>
    </w:p>
    <w:p w14:paraId="32C3F1E7"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predatory lending practices</w:t>
      </w:r>
    </w:p>
    <w:p w14:paraId="2224068F" w14:textId="77777777" w:rsidR="006E42A0" w:rsidRPr="000E4D2F" w:rsidRDefault="006E42A0" w:rsidP="006E42A0">
      <w:pPr>
        <w:pStyle w:val="ListParagraph"/>
        <w:numPr>
          <w:ilvl w:val="0"/>
          <w:numId w:val="5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B1C550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68F77091"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77A66841" w14:textId="257C2929" w:rsidR="006E42A0" w:rsidRDefault="006E42A0" w:rsidP="006E42A0">
      <w:pPr>
        <w:rPr>
          <w:rFonts w:asciiTheme="majorHAnsi" w:hAnsiTheme="majorHAnsi" w:cstheme="majorHAnsi"/>
          <w:sz w:val="24"/>
          <w:szCs w:val="24"/>
        </w:rPr>
      </w:pPr>
    </w:p>
    <w:p w14:paraId="70486EB4"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HOA Disclosures:</w:t>
      </w:r>
    </w:p>
    <w:p w14:paraId="25CBD73E"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HOA dues and fees</w:t>
      </w:r>
    </w:p>
    <w:p w14:paraId="180D3613"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for current or unpaid dues</w:t>
      </w:r>
    </w:p>
    <w:p w14:paraId="4DE0347E"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Alterations or improvements in violation of covenants</w:t>
      </w:r>
    </w:p>
    <w:p w14:paraId="2D4AAB74" w14:textId="77777777" w:rsidR="006E42A0" w:rsidRPr="000E4D2F" w:rsidRDefault="006E42A0" w:rsidP="006E42A0">
      <w:pPr>
        <w:pStyle w:val="ListParagraph"/>
        <w:numPr>
          <w:ilvl w:val="0"/>
          <w:numId w:val="4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4A04747"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3DB22DF"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2743D4D3" w14:textId="77777777" w:rsidR="006E42A0" w:rsidRPr="00802649" w:rsidRDefault="006E42A0" w:rsidP="006E42A0">
      <w:pPr>
        <w:rPr>
          <w:rFonts w:asciiTheme="majorHAnsi" w:hAnsiTheme="majorHAnsi" w:cstheme="majorHAnsi"/>
          <w:sz w:val="24"/>
          <w:szCs w:val="24"/>
        </w:rPr>
      </w:pPr>
    </w:p>
    <w:p w14:paraId="400FFB2F" w14:textId="77777777" w:rsidR="006E42A0" w:rsidRPr="00802649" w:rsidRDefault="006E42A0" w:rsidP="006E42A0">
      <w:pPr>
        <w:rPr>
          <w:rFonts w:asciiTheme="majorHAnsi" w:hAnsiTheme="majorHAnsi" w:cstheme="majorHAnsi"/>
          <w:b/>
          <w:sz w:val="24"/>
          <w:szCs w:val="24"/>
        </w:rPr>
      </w:pPr>
      <w:r w:rsidRPr="00802649">
        <w:rPr>
          <w:rFonts w:asciiTheme="majorHAnsi" w:hAnsiTheme="majorHAnsi" w:cstheme="majorHAnsi"/>
          <w:b/>
          <w:sz w:val="24"/>
          <w:szCs w:val="24"/>
        </w:rPr>
        <w:t>Affidavit of Disclosure:</w:t>
      </w:r>
    </w:p>
    <w:p w14:paraId="40240C32"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critical issues contained in the affidavit</w:t>
      </w:r>
    </w:p>
    <w:p w14:paraId="41F4B700"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lastRenderedPageBreak/>
        <w:t>Failure to understand rescission rights</w:t>
      </w:r>
    </w:p>
    <w:p w14:paraId="641D56DC" w14:textId="77777777" w:rsidR="006E42A0" w:rsidRPr="000E4D2F" w:rsidRDefault="006E42A0" w:rsidP="006E42A0">
      <w:pPr>
        <w:pStyle w:val="ListParagraph"/>
        <w:numPr>
          <w:ilvl w:val="0"/>
          <w:numId w:val="5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49A2A49"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9550FBB" w14:textId="77777777" w:rsidR="006E42A0" w:rsidRPr="00CE795C" w:rsidRDefault="006E42A0" w:rsidP="006E42A0">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F495147" w14:textId="77777777" w:rsidR="006E42A0" w:rsidRPr="00802649" w:rsidRDefault="006E42A0" w:rsidP="006E42A0">
      <w:pPr>
        <w:rPr>
          <w:rFonts w:asciiTheme="majorHAnsi" w:hAnsiTheme="majorHAnsi" w:cstheme="majorHAnsi"/>
          <w:b/>
          <w:sz w:val="24"/>
          <w:szCs w:val="24"/>
        </w:rPr>
      </w:pPr>
    </w:p>
    <w:p w14:paraId="7ABC7285" w14:textId="379D21AE" w:rsidR="006E42A0" w:rsidRPr="006E42A0" w:rsidRDefault="006E42A0" w:rsidP="00C654D9">
      <w:pPr>
        <w:rPr>
          <w:rFonts w:asciiTheme="majorHAnsi" w:hAnsiTheme="majorHAnsi" w:cstheme="majorHAnsi"/>
          <w:b/>
          <w:vanish/>
          <w:color w:val="FF0000"/>
          <w:sz w:val="24"/>
          <w:szCs w:val="24"/>
        </w:rPr>
      </w:pPr>
      <w:r>
        <w:rPr>
          <w:rFonts w:asciiTheme="majorHAnsi" w:hAnsiTheme="majorHAnsi" w:cstheme="majorHAnsi"/>
          <w:b/>
          <w:vanish/>
          <w:color w:val="FF0000"/>
          <w:sz w:val="24"/>
          <w:szCs w:val="24"/>
        </w:rPr>
        <w:t xml:space="preserve">NOTE:  </w:t>
      </w:r>
      <w:r w:rsidRPr="006E42A0">
        <w:rPr>
          <w:rFonts w:asciiTheme="majorHAnsi" w:hAnsiTheme="majorHAnsi" w:cstheme="majorHAnsi"/>
          <w:b/>
          <w:vanish/>
          <w:color w:val="FF0000"/>
          <w:sz w:val="24"/>
          <w:szCs w:val="24"/>
        </w:rPr>
        <w:t>The following are town-hall style discussion (these topics are not included in the above breakout room activity</w:t>
      </w:r>
    </w:p>
    <w:p w14:paraId="3D58083C" w14:textId="0ABFCA31"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Seller’s Property Disclosure Statement (“SPDS”):</w:t>
      </w:r>
    </w:p>
    <w:p w14:paraId="7540BF09"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items within the SPDS</w:t>
      </w:r>
    </w:p>
    <w:p w14:paraId="4FEDA2EC"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investigate disclosed repairs</w:t>
      </w:r>
    </w:p>
    <w:p w14:paraId="6A900BE0" w14:textId="77777777" w:rsidR="00E257D7" w:rsidRPr="000E4D2F" w:rsidRDefault="00E257D7" w:rsidP="003120B8">
      <w:pPr>
        <w:pStyle w:val="ListParagraph"/>
        <w:numPr>
          <w:ilvl w:val="0"/>
          <w:numId w:val="4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5AEBF46E" w14:textId="77777777" w:rsidR="00DC009E" w:rsidRPr="00DC009E" w:rsidRDefault="00DC009E" w:rsidP="00DC009E">
      <w:pPr>
        <w:ind w:left="360"/>
        <w:rPr>
          <w:rFonts w:asciiTheme="majorHAnsi" w:hAnsiTheme="majorHAnsi" w:cstheme="majorHAnsi"/>
          <w:b/>
          <w:sz w:val="24"/>
          <w:szCs w:val="24"/>
        </w:rPr>
      </w:pPr>
      <w:r w:rsidRPr="00DC009E">
        <w:rPr>
          <w:rFonts w:asciiTheme="majorHAnsi" w:hAnsiTheme="majorHAnsi" w:cstheme="majorHAnsi"/>
          <w:b/>
          <w:sz w:val="24"/>
          <w:szCs w:val="24"/>
        </w:rPr>
        <w:t xml:space="preserve">Best </w:t>
      </w:r>
      <w:proofErr w:type="gramStart"/>
      <w:r w:rsidRPr="00DC009E">
        <w:rPr>
          <w:rFonts w:asciiTheme="majorHAnsi" w:hAnsiTheme="majorHAnsi" w:cstheme="majorHAnsi"/>
          <w:b/>
          <w:sz w:val="24"/>
          <w:szCs w:val="24"/>
        </w:rPr>
        <w:t>Practice:_</w:t>
      </w:r>
      <w:proofErr w:type="gramEnd"/>
      <w:r w:rsidRPr="00DC009E">
        <w:rPr>
          <w:rFonts w:asciiTheme="majorHAnsi" w:hAnsiTheme="majorHAnsi" w:cstheme="majorHAnsi"/>
          <w:b/>
          <w:sz w:val="24"/>
          <w:szCs w:val="24"/>
        </w:rPr>
        <w:t>_________________________________________________</w:t>
      </w:r>
    </w:p>
    <w:p w14:paraId="290CFC80" w14:textId="77777777" w:rsidR="00DC009E" w:rsidRPr="00DC009E" w:rsidRDefault="00DC009E" w:rsidP="00DC009E">
      <w:pPr>
        <w:ind w:left="360"/>
        <w:rPr>
          <w:rFonts w:asciiTheme="majorHAnsi" w:hAnsiTheme="majorHAnsi" w:cstheme="majorHAnsi"/>
          <w:b/>
          <w:sz w:val="24"/>
          <w:szCs w:val="24"/>
        </w:rPr>
      </w:pPr>
      <w:r w:rsidRPr="00DC009E">
        <w:rPr>
          <w:rFonts w:asciiTheme="majorHAnsi" w:hAnsiTheme="majorHAnsi" w:cstheme="majorHAnsi"/>
          <w:b/>
          <w:sz w:val="24"/>
          <w:szCs w:val="24"/>
        </w:rPr>
        <w:t>______________________________________________________________</w:t>
      </w:r>
    </w:p>
    <w:p w14:paraId="1CB1709B" w14:textId="77777777" w:rsidR="00E257D7" w:rsidRPr="00802649" w:rsidRDefault="00E257D7" w:rsidP="00C654D9">
      <w:pPr>
        <w:rPr>
          <w:rFonts w:asciiTheme="majorHAnsi" w:hAnsiTheme="majorHAnsi" w:cstheme="majorHAnsi"/>
          <w:color w:val="FF0000"/>
          <w:sz w:val="24"/>
          <w:szCs w:val="24"/>
        </w:rPr>
      </w:pPr>
    </w:p>
    <w:p w14:paraId="5E399C0F"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Covenants, Conditions and Restrictions (“CC&amp;Rs”):</w:t>
      </w:r>
    </w:p>
    <w:p w14:paraId="6324DCAA"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restrictions </w:t>
      </w:r>
    </w:p>
    <w:p w14:paraId="18325135"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Liability associated with CC&amp;R enforcement</w:t>
      </w:r>
    </w:p>
    <w:p w14:paraId="5D6223DC" w14:textId="77777777" w:rsidR="00E257D7" w:rsidRPr="000E4D2F" w:rsidRDefault="00E257D7" w:rsidP="003120B8">
      <w:pPr>
        <w:pStyle w:val="ListParagraph"/>
        <w:numPr>
          <w:ilvl w:val="0"/>
          <w:numId w:val="4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Others… </w:t>
      </w:r>
    </w:p>
    <w:p w14:paraId="7337C52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D935298"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906A550" w14:textId="77777777" w:rsidR="00E257D7" w:rsidRPr="00802649" w:rsidRDefault="00E257D7" w:rsidP="00C654D9">
      <w:pPr>
        <w:rPr>
          <w:rFonts w:asciiTheme="majorHAnsi" w:hAnsiTheme="majorHAnsi" w:cstheme="majorHAnsi"/>
          <w:color w:val="FF0000"/>
          <w:sz w:val="24"/>
          <w:szCs w:val="24"/>
        </w:rPr>
      </w:pPr>
    </w:p>
    <w:p w14:paraId="2F00A13D" w14:textId="77777777" w:rsidR="00E257D7" w:rsidRPr="00802649" w:rsidRDefault="00E257D7" w:rsidP="00C654D9">
      <w:pPr>
        <w:tabs>
          <w:tab w:val="left" w:pos="1185"/>
        </w:tabs>
        <w:rPr>
          <w:rFonts w:asciiTheme="majorHAnsi" w:hAnsiTheme="majorHAnsi" w:cstheme="majorHAnsi"/>
          <w:color w:val="FF0000"/>
          <w:sz w:val="24"/>
          <w:szCs w:val="24"/>
        </w:rPr>
      </w:pPr>
      <w:r w:rsidRPr="00802649">
        <w:rPr>
          <w:rFonts w:asciiTheme="majorHAnsi" w:hAnsiTheme="majorHAnsi" w:cstheme="majorHAnsi"/>
          <w:color w:val="FF0000"/>
          <w:sz w:val="24"/>
          <w:szCs w:val="24"/>
        </w:rPr>
        <w:tab/>
      </w:r>
    </w:p>
    <w:p w14:paraId="46367D5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Homeowner’s Association (“HOA”) Governing Documents:</w:t>
      </w:r>
    </w:p>
    <w:p w14:paraId="33729CAA"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 xml:space="preserve">Failure to understand related fees </w:t>
      </w:r>
    </w:p>
    <w:p w14:paraId="4EF0F27C"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association rights and remedies</w:t>
      </w:r>
    </w:p>
    <w:p w14:paraId="0C9358E4" w14:textId="77777777" w:rsidR="00E257D7" w:rsidRPr="000E4D2F" w:rsidRDefault="00E257D7" w:rsidP="003120B8">
      <w:pPr>
        <w:pStyle w:val="ListParagraph"/>
        <w:numPr>
          <w:ilvl w:val="0"/>
          <w:numId w:val="4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70E3720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609A7A5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0BC5CE24" w14:textId="77777777" w:rsidR="00E257D7" w:rsidRPr="00802649" w:rsidRDefault="00E257D7" w:rsidP="00C654D9">
      <w:pPr>
        <w:rPr>
          <w:rFonts w:asciiTheme="majorHAnsi" w:hAnsiTheme="majorHAnsi" w:cstheme="majorHAnsi"/>
          <w:sz w:val="24"/>
          <w:szCs w:val="24"/>
        </w:rPr>
      </w:pPr>
    </w:p>
    <w:p w14:paraId="14497FF4" w14:textId="77777777" w:rsidR="00D71EE4" w:rsidRDefault="00D71EE4" w:rsidP="00C654D9">
      <w:pPr>
        <w:rPr>
          <w:rFonts w:asciiTheme="majorHAnsi" w:hAnsiTheme="majorHAnsi" w:cstheme="majorHAnsi"/>
          <w:b/>
          <w:sz w:val="24"/>
          <w:szCs w:val="24"/>
        </w:rPr>
      </w:pPr>
    </w:p>
    <w:p w14:paraId="62BE6731"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Economic Items</w:t>
      </w:r>
      <w:r w:rsidRPr="00802649">
        <w:rPr>
          <w:rFonts w:asciiTheme="majorHAnsi" w:hAnsiTheme="majorHAnsi" w:cstheme="majorHAnsi"/>
          <w:sz w:val="24"/>
          <w:szCs w:val="24"/>
        </w:rPr>
        <w:t xml:space="preserve"> </w:t>
      </w:r>
      <w:r w:rsidRPr="00802649">
        <w:rPr>
          <w:rFonts w:asciiTheme="majorHAnsi" w:hAnsiTheme="majorHAnsi" w:cstheme="majorHAnsi"/>
          <w:b/>
          <w:sz w:val="24"/>
          <w:szCs w:val="24"/>
        </w:rPr>
        <w:t>(</w:t>
      </w:r>
      <w:proofErr w:type="gramStart"/>
      <w:r w:rsidRPr="00802649">
        <w:rPr>
          <w:rFonts w:asciiTheme="majorHAnsi" w:hAnsiTheme="majorHAnsi" w:cstheme="majorHAnsi"/>
          <w:b/>
          <w:sz w:val="24"/>
          <w:szCs w:val="24"/>
        </w:rPr>
        <w:t>i.e.</w:t>
      </w:r>
      <w:proofErr w:type="gramEnd"/>
      <w:r w:rsidRPr="00802649">
        <w:rPr>
          <w:rFonts w:asciiTheme="majorHAnsi" w:hAnsiTheme="majorHAnsi" w:cstheme="majorHAnsi"/>
          <w:b/>
          <w:sz w:val="24"/>
          <w:szCs w:val="24"/>
        </w:rPr>
        <w:t xml:space="preserve"> financial statements, rent rolls, deposits, leases, service contracts):</w:t>
      </w:r>
    </w:p>
    <w:p w14:paraId="3D899B71" w14:textId="77777777" w:rsidR="00E257D7" w:rsidRPr="000E4D2F"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Discrepancies in statements related to income-producing properties</w:t>
      </w:r>
    </w:p>
    <w:p w14:paraId="631D1351" w14:textId="680B2EB6" w:rsidR="00E257D7" w:rsidRDefault="00E257D7" w:rsidP="003120B8">
      <w:pPr>
        <w:pStyle w:val="ListParagraph"/>
        <w:numPr>
          <w:ilvl w:val="0"/>
          <w:numId w:val="4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62368B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775FC11"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90903DF" w14:textId="77777777" w:rsidR="00D71EE4" w:rsidRDefault="00D71EE4" w:rsidP="00C654D9">
      <w:pPr>
        <w:rPr>
          <w:rFonts w:asciiTheme="majorHAnsi" w:hAnsiTheme="majorHAnsi" w:cstheme="majorHAnsi"/>
          <w:b/>
          <w:sz w:val="24"/>
          <w:szCs w:val="24"/>
        </w:rPr>
      </w:pPr>
    </w:p>
    <w:p w14:paraId="09E62E3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Home Warranty Policy:</w:t>
      </w:r>
    </w:p>
    <w:p w14:paraId="5E87FAA0" w14:textId="77777777"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coverage and limitation</w:t>
      </w:r>
    </w:p>
    <w:p w14:paraId="21A6B5A0" w14:textId="77777777" w:rsidR="00E257D7" w:rsidRPr="000E4D2F" w:rsidRDefault="00E257D7" w:rsidP="003120B8">
      <w:pPr>
        <w:pStyle w:val="ListParagraph"/>
        <w:numPr>
          <w:ilvl w:val="0"/>
          <w:numId w:val="5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733333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2241976F"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13928B60" w14:textId="77777777" w:rsidR="00E257D7" w:rsidRPr="00802649" w:rsidRDefault="00E257D7" w:rsidP="00C654D9">
      <w:pPr>
        <w:rPr>
          <w:rFonts w:asciiTheme="majorHAnsi" w:hAnsiTheme="majorHAnsi" w:cstheme="majorHAnsi"/>
          <w:sz w:val="24"/>
          <w:szCs w:val="24"/>
        </w:rPr>
      </w:pPr>
    </w:p>
    <w:p w14:paraId="3A38FFE1" w14:textId="77777777" w:rsidR="00D71EE4" w:rsidRDefault="00D71EE4" w:rsidP="00C654D9">
      <w:pPr>
        <w:rPr>
          <w:rFonts w:asciiTheme="majorHAnsi" w:hAnsiTheme="majorHAnsi" w:cstheme="majorHAnsi"/>
          <w:b/>
          <w:sz w:val="24"/>
          <w:szCs w:val="24"/>
        </w:rPr>
      </w:pPr>
    </w:p>
    <w:p w14:paraId="37BD388D"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LBP Disclosure Form:</w:t>
      </w:r>
    </w:p>
    <w:p w14:paraId="712F3C95" w14:textId="77777777"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legal rights associated with LBP disclosures</w:t>
      </w:r>
    </w:p>
    <w:p w14:paraId="3C340548" w14:textId="77777777" w:rsidR="00E257D7" w:rsidRPr="000E4D2F" w:rsidRDefault="00E257D7" w:rsidP="003120B8">
      <w:pPr>
        <w:pStyle w:val="ListParagraph"/>
        <w:numPr>
          <w:ilvl w:val="0"/>
          <w:numId w:val="5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B2CBD3D"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2E64CA9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32BB7D63" w14:textId="77777777" w:rsidR="00E257D7" w:rsidRPr="00802649" w:rsidRDefault="00E257D7" w:rsidP="00C654D9">
      <w:pPr>
        <w:rPr>
          <w:rFonts w:asciiTheme="majorHAnsi" w:hAnsiTheme="majorHAnsi" w:cstheme="majorHAnsi"/>
          <w:b/>
          <w:sz w:val="24"/>
          <w:szCs w:val="24"/>
        </w:rPr>
      </w:pPr>
    </w:p>
    <w:p w14:paraId="1472FFD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County Assessors/Tax Records:</w:t>
      </w:r>
    </w:p>
    <w:p w14:paraId="1ACDD34B" w14:textId="77777777"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verify critical information such as assessed value, tax liability, square footage, date built, etc.</w:t>
      </w:r>
    </w:p>
    <w:p w14:paraId="652FA535" w14:textId="77777777" w:rsidR="00E257D7" w:rsidRPr="000E4D2F" w:rsidRDefault="00E257D7" w:rsidP="003120B8">
      <w:pPr>
        <w:pStyle w:val="ListParagraph"/>
        <w:numPr>
          <w:ilvl w:val="0"/>
          <w:numId w:val="5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6A5C9927"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7D6C5FCE"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lastRenderedPageBreak/>
        <w:t>______________________________________________________________</w:t>
      </w:r>
    </w:p>
    <w:p w14:paraId="6FE1CE99" w14:textId="77777777" w:rsidR="00E257D7" w:rsidRPr="00802649" w:rsidRDefault="00E257D7" w:rsidP="00C654D9">
      <w:pPr>
        <w:rPr>
          <w:rFonts w:asciiTheme="majorHAnsi" w:hAnsiTheme="majorHAnsi" w:cstheme="majorHAnsi"/>
          <w:sz w:val="24"/>
          <w:szCs w:val="24"/>
        </w:rPr>
      </w:pPr>
    </w:p>
    <w:p w14:paraId="4174FF20" w14:textId="77777777" w:rsidR="00696E22" w:rsidRDefault="00696E22">
      <w:pPr>
        <w:spacing w:after="0" w:line="240" w:lineRule="auto"/>
        <w:rPr>
          <w:rFonts w:asciiTheme="majorHAnsi" w:hAnsiTheme="majorHAnsi" w:cstheme="majorHAnsi"/>
          <w:b/>
          <w:sz w:val="24"/>
          <w:szCs w:val="24"/>
        </w:rPr>
      </w:pPr>
      <w:r>
        <w:rPr>
          <w:rFonts w:asciiTheme="majorHAnsi" w:hAnsiTheme="majorHAnsi" w:cstheme="majorHAnsi"/>
          <w:b/>
          <w:sz w:val="24"/>
          <w:szCs w:val="24"/>
        </w:rPr>
        <w:br w:type="page"/>
      </w:r>
    </w:p>
    <w:p w14:paraId="44BFB672" w14:textId="34C695FE"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Professional Home Inspection Report</w:t>
      </w:r>
    </w:p>
    <w:p w14:paraId="09C71ECA"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use a qualified inspector</w:t>
      </w:r>
    </w:p>
    <w:p w14:paraId="36F4EA06"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costly defects in a property</w:t>
      </w:r>
    </w:p>
    <w:p w14:paraId="6CC2BC52"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areas excluded from an inspection</w:t>
      </w:r>
    </w:p>
    <w:p w14:paraId="05BF9552" w14:textId="77777777" w:rsidR="00E257D7" w:rsidRPr="000E4D2F" w:rsidRDefault="00E257D7" w:rsidP="003120B8">
      <w:pPr>
        <w:pStyle w:val="ListParagraph"/>
        <w:numPr>
          <w:ilvl w:val="0"/>
          <w:numId w:val="5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21D02443"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b/>
          <w:sz w:val="24"/>
          <w:szCs w:val="24"/>
        </w:rPr>
        <w:t>NOTE:</w:t>
      </w:r>
      <w:r w:rsidRPr="00802649">
        <w:rPr>
          <w:rFonts w:asciiTheme="majorHAnsi" w:hAnsiTheme="majorHAnsi" w:cstheme="majorHAnsi"/>
          <w:sz w:val="24"/>
          <w:szCs w:val="24"/>
        </w:rPr>
        <w:t xml:space="preserve"> Home inspectors should have E &amp; O Insurance</w:t>
      </w:r>
    </w:p>
    <w:p w14:paraId="5C5FA4E1" w14:textId="49A6A81E" w:rsidR="00CE795C" w:rsidRDefault="00CE795C" w:rsidP="00CE795C">
      <w:pPr>
        <w:rPr>
          <w:rFonts w:asciiTheme="majorHAnsi" w:hAnsiTheme="majorHAnsi" w:cstheme="majorHAnsi"/>
          <w:b/>
          <w:sz w:val="24"/>
          <w:szCs w:val="24"/>
        </w:rPr>
      </w:pPr>
      <w:r>
        <w:rPr>
          <w:rFonts w:asciiTheme="majorHAnsi" w:hAnsiTheme="majorHAnsi" w:cstheme="majorHAnsi"/>
          <w:b/>
          <w:sz w:val="24"/>
          <w:szCs w:val="24"/>
        </w:rPr>
        <w:t xml:space="preserve">Best </w:t>
      </w:r>
      <w:proofErr w:type="gramStart"/>
      <w:r>
        <w:rPr>
          <w:rFonts w:asciiTheme="majorHAnsi" w:hAnsiTheme="majorHAnsi" w:cstheme="majorHAnsi"/>
          <w:b/>
          <w:sz w:val="24"/>
          <w:szCs w:val="24"/>
        </w:rPr>
        <w:t>Practice:_</w:t>
      </w:r>
      <w:proofErr w:type="gramEnd"/>
      <w:r>
        <w:rPr>
          <w:rFonts w:asciiTheme="majorHAnsi" w:hAnsiTheme="majorHAnsi" w:cstheme="majorHAnsi"/>
          <w:b/>
          <w:sz w:val="24"/>
          <w:szCs w:val="24"/>
        </w:rPr>
        <w:t>_________________________________________________</w:t>
      </w:r>
    </w:p>
    <w:p w14:paraId="5C453A1B" w14:textId="77777777" w:rsidR="00CE795C" w:rsidRDefault="00CE795C" w:rsidP="00CE795C">
      <w:pPr>
        <w:rPr>
          <w:rFonts w:asciiTheme="majorHAnsi" w:hAnsiTheme="majorHAnsi" w:cstheme="majorHAnsi"/>
          <w:b/>
          <w:sz w:val="24"/>
          <w:szCs w:val="24"/>
        </w:rPr>
      </w:pPr>
      <w:r>
        <w:rPr>
          <w:rFonts w:asciiTheme="majorHAnsi" w:hAnsiTheme="majorHAnsi" w:cstheme="majorHAnsi"/>
          <w:b/>
          <w:sz w:val="24"/>
          <w:szCs w:val="24"/>
        </w:rPr>
        <w:t>______________________________________________________________</w:t>
      </w:r>
    </w:p>
    <w:p w14:paraId="490BDE07" w14:textId="66D30D00" w:rsidR="00E257D7" w:rsidRPr="00802649" w:rsidRDefault="00E257D7" w:rsidP="00CE795C">
      <w:pPr>
        <w:rPr>
          <w:rFonts w:asciiTheme="majorHAnsi" w:hAnsiTheme="majorHAnsi" w:cstheme="majorHAnsi"/>
          <w:sz w:val="24"/>
          <w:szCs w:val="24"/>
        </w:rPr>
      </w:pPr>
    </w:p>
    <w:p w14:paraId="67519B8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Termites and Other Wood Destroying Insects and Organisms</w:t>
      </w:r>
    </w:p>
    <w:p w14:paraId="40C80326"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properly evaluate the condition of a property</w:t>
      </w:r>
    </w:p>
    <w:p w14:paraId="542DADBB"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treatments, infestation or existing damage</w:t>
      </w:r>
    </w:p>
    <w:p w14:paraId="776ED278" w14:textId="77777777" w:rsidR="00E257D7" w:rsidRPr="000E4D2F" w:rsidRDefault="00E257D7" w:rsidP="003120B8">
      <w:pPr>
        <w:pStyle w:val="ListParagraph"/>
        <w:numPr>
          <w:ilvl w:val="0"/>
          <w:numId w:val="5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Others…</w:t>
      </w:r>
    </w:p>
    <w:p w14:paraId="198C6F0D"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 xml:space="preserve">Best </w:t>
      </w:r>
      <w:proofErr w:type="gramStart"/>
      <w:r w:rsidRPr="00CE795C">
        <w:rPr>
          <w:rFonts w:asciiTheme="majorHAnsi" w:hAnsiTheme="majorHAnsi" w:cstheme="majorHAnsi"/>
          <w:b/>
          <w:sz w:val="24"/>
          <w:szCs w:val="24"/>
        </w:rPr>
        <w:t>Practice:_</w:t>
      </w:r>
      <w:proofErr w:type="gramEnd"/>
      <w:r w:rsidRPr="00CE795C">
        <w:rPr>
          <w:rFonts w:asciiTheme="majorHAnsi" w:hAnsiTheme="majorHAnsi" w:cstheme="majorHAnsi"/>
          <w:b/>
          <w:sz w:val="24"/>
          <w:szCs w:val="24"/>
        </w:rPr>
        <w:t>_________________________________________________</w:t>
      </w:r>
    </w:p>
    <w:p w14:paraId="3B8D0BA2" w14:textId="77777777" w:rsidR="00CE795C" w:rsidRPr="00CE795C" w:rsidRDefault="00CE795C" w:rsidP="00CE795C">
      <w:pPr>
        <w:ind w:left="360"/>
        <w:rPr>
          <w:rFonts w:asciiTheme="majorHAnsi" w:hAnsiTheme="majorHAnsi" w:cstheme="majorHAnsi"/>
          <w:b/>
          <w:sz w:val="24"/>
          <w:szCs w:val="24"/>
        </w:rPr>
      </w:pPr>
      <w:r w:rsidRPr="00CE795C">
        <w:rPr>
          <w:rFonts w:asciiTheme="majorHAnsi" w:hAnsiTheme="majorHAnsi" w:cstheme="majorHAnsi"/>
          <w:b/>
          <w:sz w:val="24"/>
          <w:szCs w:val="24"/>
        </w:rPr>
        <w:t>______________________________________________________________</w:t>
      </w:r>
    </w:p>
    <w:p w14:paraId="718D493D" w14:textId="77777777" w:rsidR="00E257D7" w:rsidRPr="00802649" w:rsidRDefault="00E257D7" w:rsidP="00C654D9">
      <w:pPr>
        <w:rPr>
          <w:rFonts w:asciiTheme="majorHAnsi" w:hAnsiTheme="majorHAnsi" w:cstheme="majorHAnsi"/>
          <w:b/>
          <w:sz w:val="24"/>
          <w:szCs w:val="24"/>
        </w:rPr>
      </w:pPr>
    </w:p>
    <w:p w14:paraId="543FAEE8" w14:textId="77777777" w:rsidR="00E257D7" w:rsidRPr="00802649" w:rsidRDefault="00E257D7">
      <w:pPr>
        <w:rPr>
          <w:rFonts w:asciiTheme="majorHAnsi" w:hAnsiTheme="majorHAnsi" w:cstheme="majorHAnsi"/>
          <w:b/>
          <w:color w:val="FF0000"/>
          <w:sz w:val="24"/>
          <w:szCs w:val="24"/>
        </w:rPr>
      </w:pPr>
      <w:r w:rsidRPr="00802649">
        <w:rPr>
          <w:rFonts w:asciiTheme="majorHAnsi" w:hAnsiTheme="majorHAnsi" w:cstheme="majorHAnsi"/>
          <w:b/>
          <w:color w:val="FF0000"/>
          <w:sz w:val="24"/>
          <w:szCs w:val="24"/>
        </w:rPr>
        <w:br w:type="page"/>
      </w:r>
    </w:p>
    <w:p w14:paraId="2A25DCF7" w14:textId="77777777" w:rsidR="00E257D7" w:rsidRPr="000E4D2F" w:rsidRDefault="00E257D7" w:rsidP="00C654D9">
      <w:pPr>
        <w:pStyle w:val="Heading1"/>
        <w:rPr>
          <w:rFonts w:asciiTheme="majorHAnsi" w:hAnsiTheme="majorHAnsi" w:cstheme="majorHAnsi"/>
          <w:color w:val="auto"/>
          <w:sz w:val="32"/>
          <w:szCs w:val="32"/>
        </w:rPr>
      </w:pPr>
      <w:bookmarkStart w:id="27" w:name="_Toc65239072"/>
      <w:r w:rsidRPr="000E4D2F">
        <w:rPr>
          <w:rFonts w:asciiTheme="majorHAnsi" w:hAnsiTheme="majorHAnsi" w:cstheme="majorHAnsi"/>
          <w:color w:val="auto"/>
          <w:sz w:val="32"/>
          <w:szCs w:val="32"/>
        </w:rPr>
        <w:lastRenderedPageBreak/>
        <w:t>Unit 2, Segment 3: Physical Inspections</w:t>
      </w:r>
      <w:bookmarkEnd w:id="27"/>
    </w:p>
    <w:p w14:paraId="099AABAD" w14:textId="77777777" w:rsidR="00E257D7" w:rsidRPr="00802649" w:rsidRDefault="00E257D7" w:rsidP="00C654D9">
      <w:pPr>
        <w:rPr>
          <w:rFonts w:asciiTheme="majorHAnsi" w:hAnsiTheme="majorHAnsi" w:cstheme="majorHAnsi"/>
          <w:b/>
          <w:i/>
          <w:color w:val="FF0000"/>
          <w:sz w:val="24"/>
          <w:szCs w:val="24"/>
        </w:rPr>
      </w:pPr>
    </w:p>
    <w:p w14:paraId="0DB8CB51"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60 minutes total for this segment</w:t>
      </w:r>
    </w:p>
    <w:p w14:paraId="055C9023"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Learning objective for this segment:</w:t>
      </w:r>
    </w:p>
    <w:p w14:paraId="4B123A8C"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the risks associated with buyers’ failure to complete appropriate inspections and investigations</w:t>
      </w:r>
    </w:p>
    <w:p w14:paraId="155CF0AB" w14:textId="77777777" w:rsidR="00E257D7" w:rsidRPr="00802649" w:rsidRDefault="00E257D7" w:rsidP="00C654D9">
      <w:pPr>
        <w:rPr>
          <w:rFonts w:asciiTheme="majorHAnsi" w:hAnsiTheme="majorHAnsi" w:cstheme="majorHAnsi"/>
          <w:b/>
          <w:sz w:val="28"/>
          <w:szCs w:val="28"/>
        </w:rPr>
      </w:pPr>
    </w:p>
    <w:p w14:paraId="29898180"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Home or Property Inspections</w:t>
      </w:r>
    </w:p>
    <w:p w14:paraId="1B39D9E1"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perform a home inspection?</w:t>
      </w:r>
    </w:p>
    <w:p w14:paraId="15684011" w14:textId="77777777" w:rsidR="00E257D7" w:rsidRPr="000E4D2F"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property defects</w:t>
      </w:r>
    </w:p>
    <w:p w14:paraId="5B6E8FE9" w14:textId="77777777" w:rsidR="00E257D7" w:rsidRDefault="00E257D7" w:rsidP="003120B8">
      <w:pPr>
        <w:pStyle w:val="ListParagraph"/>
        <w:numPr>
          <w:ilvl w:val="0"/>
          <w:numId w:val="5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Misinterpreting the condition of a property</w:t>
      </w:r>
    </w:p>
    <w:p w14:paraId="3B93BF47" w14:textId="77777777" w:rsidR="00186DA5" w:rsidRPr="00E245B0" w:rsidRDefault="00186DA5" w:rsidP="003120B8">
      <w:pPr>
        <w:pStyle w:val="ListParagraph"/>
        <w:numPr>
          <w:ilvl w:val="0"/>
          <w:numId w:val="58"/>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discover red flags</w:t>
      </w:r>
    </w:p>
    <w:p w14:paraId="2E1DD445" w14:textId="77777777" w:rsidR="00E257D7" w:rsidRPr="00802649" w:rsidRDefault="00E257D7" w:rsidP="00C654D9">
      <w:pPr>
        <w:rPr>
          <w:rFonts w:asciiTheme="majorHAnsi" w:hAnsiTheme="majorHAnsi" w:cstheme="majorHAnsi"/>
          <w:sz w:val="24"/>
          <w:szCs w:val="24"/>
        </w:rPr>
      </w:pPr>
    </w:p>
    <w:p w14:paraId="49652DDD"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Why should buyers perform a home inspection?</w:t>
      </w:r>
    </w:p>
    <w:p w14:paraId="499D461C"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 qualified inspector can detect many existing or potential problems that could be costly to repair.  The majority of disputes between buyers and sellers are related to material defects in a property; buyers should take every precaution to uncover any existing problems during the inspection period.  A qualified home inspector may also be able to recommend needed evaluation by other professionals.</w:t>
      </w:r>
    </w:p>
    <w:p w14:paraId="31977D4F" w14:textId="77777777" w:rsidR="00E257D7" w:rsidRPr="00802649" w:rsidRDefault="00E257D7" w:rsidP="00C654D9">
      <w:pPr>
        <w:rPr>
          <w:rFonts w:asciiTheme="majorHAnsi" w:hAnsiTheme="majorHAnsi" w:cstheme="majorHAnsi"/>
          <w:sz w:val="24"/>
          <w:szCs w:val="24"/>
        </w:rPr>
      </w:pPr>
    </w:p>
    <w:p w14:paraId="1BAF1113"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How can a buyer be sure an inspector is qualified?</w:t>
      </w:r>
    </w:p>
    <w:p w14:paraId="262EC36C" w14:textId="77777777" w:rsidR="00E257D7" w:rsidRPr="000E4D2F" w:rsidRDefault="00E257D7" w:rsidP="00C654D9">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The Buyer Advisory contains links to websites of the Arizona Board of Technical Registration, which provides a list of certified home inspectors, and the American Society of Home Inspectors, which provides additional information on home inspections.</w:t>
      </w:r>
    </w:p>
    <w:p w14:paraId="6B0BBE94" w14:textId="77777777" w:rsidR="00E257D7" w:rsidRPr="00802649" w:rsidRDefault="00E257D7" w:rsidP="00C654D9">
      <w:pPr>
        <w:rPr>
          <w:rFonts w:asciiTheme="majorHAnsi" w:hAnsiTheme="majorHAnsi" w:cstheme="majorHAnsi"/>
          <w:sz w:val="24"/>
          <w:szCs w:val="24"/>
        </w:rPr>
      </w:pPr>
    </w:p>
    <w:p w14:paraId="26CF9DBE"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Repairs and New Construction</w:t>
      </w:r>
    </w:p>
    <w:p w14:paraId="05E3493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What risks are associated with failing to investigate repairs or new construction (additions)?</w:t>
      </w:r>
    </w:p>
    <w:p w14:paraId="7B7C3F28" w14:textId="77777777"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properly permitted</w:t>
      </w:r>
    </w:p>
    <w:p w14:paraId="688FD79E" w14:textId="77777777" w:rsidR="00E257D7" w:rsidRPr="000E4D2F" w:rsidRDefault="00E257D7" w:rsidP="003120B8">
      <w:pPr>
        <w:pStyle w:val="ListParagraph"/>
        <w:numPr>
          <w:ilvl w:val="0"/>
          <w:numId w:val="5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Work not expertly performed</w:t>
      </w:r>
    </w:p>
    <w:p w14:paraId="058ABFB2" w14:textId="77777777" w:rsidR="00DC009E" w:rsidRDefault="00DC009E" w:rsidP="00C654D9">
      <w:pPr>
        <w:rPr>
          <w:rFonts w:asciiTheme="majorHAnsi" w:hAnsiTheme="majorHAnsi" w:cstheme="majorHAnsi"/>
          <w:b/>
          <w:sz w:val="24"/>
          <w:szCs w:val="24"/>
        </w:rPr>
      </w:pPr>
    </w:p>
    <w:p w14:paraId="714FAC6D" w14:textId="3B56A1D2"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 xml:space="preserve">Buyer Advisory </w:t>
      </w:r>
      <w:r w:rsidRPr="00802649">
        <w:rPr>
          <w:rFonts w:asciiTheme="majorHAnsi" w:hAnsiTheme="majorHAnsi" w:cstheme="majorHAnsi"/>
          <w:b/>
          <w:sz w:val="24"/>
          <w:szCs w:val="24"/>
        </w:rPr>
        <w:t>aid buyers in investigating repairs and new construction?</w:t>
      </w:r>
    </w:p>
    <w:p w14:paraId="1896BE3F"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a guide on hiring a licensed contractor to perform an inspection.  Also, it directs buyers to where they can find information regarding permitting. </w:t>
      </w:r>
    </w:p>
    <w:p w14:paraId="6A0D390C" w14:textId="77777777" w:rsidR="00E257D7" w:rsidRPr="00802649" w:rsidRDefault="00E257D7" w:rsidP="00C654D9">
      <w:pPr>
        <w:rPr>
          <w:rFonts w:asciiTheme="majorHAnsi" w:hAnsiTheme="majorHAnsi" w:cstheme="majorHAnsi"/>
          <w:sz w:val="24"/>
          <w:szCs w:val="24"/>
        </w:rPr>
      </w:pPr>
    </w:p>
    <w:p w14:paraId="2CBD8B77"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Roof</w:t>
      </w:r>
    </w:p>
    <w:p w14:paraId="7E9C1F28"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the roof of a property?</w:t>
      </w:r>
    </w:p>
    <w:p w14:paraId="466433F2" w14:textId="77777777"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This can be a costly repair!!</w:t>
      </w:r>
    </w:p>
    <w:p w14:paraId="0D29B2D8" w14:textId="77777777" w:rsidR="00E257D7" w:rsidRPr="000E4D2F" w:rsidRDefault="00E257D7" w:rsidP="003120B8">
      <w:pPr>
        <w:pStyle w:val="ListParagraph"/>
        <w:numPr>
          <w:ilvl w:val="0"/>
          <w:numId w:val="6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notice past leaks and/or water damage</w:t>
      </w:r>
    </w:p>
    <w:p w14:paraId="13BEB97A"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information on hiring a licensed roofer as well as a link to the Arizona Roofing Contractors Association.</w:t>
      </w:r>
    </w:p>
    <w:p w14:paraId="16DE28DB" w14:textId="77777777" w:rsidR="00E257D7" w:rsidRPr="00802649" w:rsidRDefault="00E257D7" w:rsidP="00C654D9">
      <w:pPr>
        <w:rPr>
          <w:rFonts w:asciiTheme="majorHAnsi" w:hAnsiTheme="majorHAnsi" w:cstheme="majorHAnsi"/>
          <w:sz w:val="24"/>
          <w:szCs w:val="24"/>
        </w:rPr>
      </w:pPr>
    </w:p>
    <w:p w14:paraId="63D2217D" w14:textId="77777777" w:rsidR="00E257D7" w:rsidRPr="00802649" w:rsidRDefault="00E257D7" w:rsidP="00C654D9">
      <w:pPr>
        <w:rPr>
          <w:rFonts w:asciiTheme="majorHAnsi" w:hAnsiTheme="majorHAnsi" w:cstheme="majorHAnsi"/>
          <w:b/>
          <w:sz w:val="28"/>
          <w:szCs w:val="28"/>
        </w:rPr>
      </w:pPr>
    </w:p>
    <w:p w14:paraId="0F5BA0A4"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Wood-destroying Insects and Other Wood-destroying Organisms</w:t>
      </w:r>
    </w:p>
    <w:p w14:paraId="492E5A17"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this inspection?</w:t>
      </w:r>
    </w:p>
    <w:p w14:paraId="12430C22"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discover past or present infestation or damage</w:t>
      </w:r>
    </w:p>
    <w:p w14:paraId="31353DC8" w14:textId="77777777" w:rsidR="00E257D7" w:rsidRPr="00802649" w:rsidRDefault="00E257D7" w:rsidP="00C654D9">
      <w:pPr>
        <w:rPr>
          <w:rFonts w:asciiTheme="majorHAnsi" w:hAnsiTheme="majorHAnsi" w:cstheme="majorHAnsi"/>
          <w:sz w:val="24"/>
          <w:szCs w:val="24"/>
        </w:rPr>
      </w:pPr>
    </w:p>
    <w:p w14:paraId="48BB884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Swimming Pools and Spas</w:t>
      </w:r>
    </w:p>
    <w:p w14:paraId="5D686E2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swimming pools and/or spas?</w:t>
      </w:r>
    </w:p>
    <w:p w14:paraId="0A569DE5"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Cleaning systems and pumps can be costly to repair</w:t>
      </w:r>
    </w:p>
    <w:p w14:paraId="37F417DC" w14:textId="77777777" w:rsidR="00E257D7" w:rsidRPr="000E4D2F" w:rsidRDefault="00E257D7" w:rsidP="003120B8">
      <w:pPr>
        <w:pStyle w:val="ListParagraph"/>
        <w:numPr>
          <w:ilvl w:val="0"/>
          <w:numId w:val="61"/>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city and county ordinances</w:t>
      </w:r>
    </w:p>
    <w:p w14:paraId="1CB2554F" w14:textId="77777777" w:rsidR="00DC009E" w:rsidRDefault="00DC009E" w:rsidP="00C654D9">
      <w:pPr>
        <w:rPr>
          <w:rFonts w:asciiTheme="majorHAnsi" w:hAnsiTheme="majorHAnsi" w:cstheme="majorHAnsi"/>
          <w:b/>
          <w:sz w:val="24"/>
          <w:szCs w:val="24"/>
        </w:rPr>
      </w:pPr>
    </w:p>
    <w:p w14:paraId="2A441935" w14:textId="36E8D14D"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buyers in swimming pool/spa inspection?</w:t>
      </w:r>
    </w:p>
    <w:p w14:paraId="1187C84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directions and web links for buyers to access pool barrier contact information for cities and counties, the Arizona Department of Health Services Private Pool Safety notice and the state law on swimming pools.</w:t>
      </w:r>
    </w:p>
    <w:p w14:paraId="211AB385" w14:textId="77777777" w:rsidR="00E257D7" w:rsidRPr="00802649" w:rsidRDefault="00E257D7" w:rsidP="00C654D9">
      <w:pPr>
        <w:rPr>
          <w:rFonts w:asciiTheme="majorHAnsi" w:hAnsiTheme="majorHAnsi" w:cstheme="majorHAnsi"/>
          <w:sz w:val="24"/>
          <w:szCs w:val="24"/>
        </w:rPr>
      </w:pPr>
    </w:p>
    <w:p w14:paraId="1865AE7D"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Square Footage</w:t>
      </w:r>
    </w:p>
    <w:p w14:paraId="0FE3BB98"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square footage?</w:t>
      </w:r>
    </w:p>
    <w:p w14:paraId="2EA062F4" w14:textId="77777777"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May be material to the transaction</w:t>
      </w:r>
    </w:p>
    <w:p w14:paraId="5A00EEF9" w14:textId="77777777" w:rsidR="00E257D7" w:rsidRPr="000E4D2F" w:rsidRDefault="00E257D7" w:rsidP="003120B8">
      <w:pPr>
        <w:pStyle w:val="ListParagraph"/>
        <w:numPr>
          <w:ilvl w:val="0"/>
          <w:numId w:val="62"/>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Use and/or resale concerns</w:t>
      </w:r>
    </w:p>
    <w:p w14:paraId="70DCB978"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Links to websites containing lists of appraisers and architects may be accessed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5EC429D4" w14:textId="77777777" w:rsidR="00E257D7" w:rsidRPr="00802649" w:rsidRDefault="00E257D7" w:rsidP="00C654D9">
      <w:pPr>
        <w:rPr>
          <w:rFonts w:asciiTheme="majorHAnsi" w:hAnsiTheme="majorHAnsi" w:cstheme="majorHAnsi"/>
          <w:b/>
          <w:sz w:val="24"/>
          <w:szCs w:val="24"/>
        </w:rPr>
      </w:pPr>
    </w:p>
    <w:p w14:paraId="26857FF6"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Sewer, Septic, and Other On-site Wastewater Treatment Facilities</w:t>
      </w:r>
    </w:p>
    <w:p w14:paraId="6A8AC0F4"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sewer connection?</w:t>
      </w:r>
    </w:p>
    <w:p w14:paraId="68194082"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Falsely identifying a property as being connected to sewer</w:t>
      </w:r>
    </w:p>
    <w:p w14:paraId="373061A1" w14:textId="77777777" w:rsidR="00DC009E" w:rsidRDefault="00DC009E" w:rsidP="00C654D9">
      <w:pPr>
        <w:rPr>
          <w:rFonts w:asciiTheme="majorHAnsi" w:hAnsiTheme="majorHAnsi" w:cstheme="majorHAnsi"/>
          <w:b/>
          <w:sz w:val="24"/>
          <w:szCs w:val="24"/>
        </w:rPr>
      </w:pPr>
    </w:p>
    <w:p w14:paraId="2BCC9C56" w14:textId="007F857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inspect an on-site wastewater treatment facility or septic system?</w:t>
      </w:r>
    </w:p>
    <w:p w14:paraId="6396524D"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ADEQ rules regarding inspection and transfer of ownership</w:t>
      </w:r>
    </w:p>
    <w:p w14:paraId="18E0439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ADEQ website for information on requirements.</w:t>
      </w:r>
    </w:p>
    <w:p w14:paraId="6E8ED099" w14:textId="77777777" w:rsidR="00E257D7" w:rsidRPr="00E245B0" w:rsidRDefault="00186DA5" w:rsidP="00186DA5">
      <w:pPr>
        <w:pStyle w:val="ListParagraph"/>
        <w:numPr>
          <w:ilvl w:val="0"/>
          <w:numId w:val="63"/>
        </w:numPr>
        <w:rPr>
          <w:rFonts w:asciiTheme="majorHAnsi" w:hAnsiTheme="majorHAnsi" w:cstheme="majorHAnsi"/>
          <w:color w:val="FF0000"/>
          <w:sz w:val="24"/>
          <w:szCs w:val="24"/>
        </w:rPr>
      </w:pPr>
      <w:r w:rsidRPr="00E245B0">
        <w:rPr>
          <w:rFonts w:asciiTheme="majorHAnsi" w:hAnsiTheme="majorHAnsi" w:cstheme="majorHAnsi"/>
          <w:b/>
          <w:i/>
          <w:vanish/>
          <w:color w:val="FF0000"/>
          <w:sz w:val="24"/>
          <w:szCs w:val="24"/>
        </w:rPr>
        <w:t>Failure to identify whether the facility or septic system has any issue – cracks proper size, etc.</w:t>
      </w:r>
    </w:p>
    <w:p w14:paraId="5C1E7E1D" w14:textId="77777777" w:rsidR="00DC009E" w:rsidRDefault="00DC009E" w:rsidP="00C654D9">
      <w:pPr>
        <w:rPr>
          <w:rFonts w:asciiTheme="majorHAnsi" w:hAnsiTheme="majorHAnsi" w:cstheme="majorHAnsi"/>
          <w:b/>
          <w:sz w:val="28"/>
          <w:szCs w:val="28"/>
        </w:rPr>
      </w:pPr>
    </w:p>
    <w:p w14:paraId="3887CBAB" w14:textId="561E1BD4"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Water/Well Issues</w:t>
      </w:r>
    </w:p>
    <w:p w14:paraId="4C9D35F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water/well issues?</w:t>
      </w:r>
    </w:p>
    <w:p w14:paraId="462C0C36"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lastRenderedPageBreak/>
        <w:t>Disputes regarding the availability and quality of the water to the property</w:t>
      </w:r>
    </w:p>
    <w:p w14:paraId="22DD5866" w14:textId="77777777" w:rsidR="00E257D7" w:rsidRPr="000E4D2F" w:rsidRDefault="00E257D7" w:rsidP="003120B8">
      <w:pPr>
        <w:pStyle w:val="ListParagraph"/>
        <w:numPr>
          <w:ilvl w:val="0"/>
          <w:numId w:val="63"/>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General Stream Adjudications that may affect the property</w:t>
      </w:r>
    </w:p>
    <w:p w14:paraId="2095004C" w14:textId="77777777" w:rsidR="00E257D7" w:rsidRPr="00802649" w:rsidRDefault="00E257D7" w:rsidP="00C654D9">
      <w:pPr>
        <w:rPr>
          <w:rFonts w:asciiTheme="majorHAnsi" w:hAnsiTheme="majorHAnsi" w:cstheme="majorHAnsi"/>
          <w:sz w:val="24"/>
          <w:szCs w:val="24"/>
        </w:rPr>
      </w:pPr>
    </w:p>
    <w:p w14:paraId="0F3922C7"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Soil Conditions</w:t>
      </w:r>
    </w:p>
    <w:p w14:paraId="1DF7E47E"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soil conditions?</w:t>
      </w:r>
    </w:p>
    <w:p w14:paraId="4A057217" w14:textId="77777777"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Structural problems associated with soil movement</w:t>
      </w:r>
    </w:p>
    <w:p w14:paraId="4DF6BEA9" w14:textId="77777777" w:rsidR="00E257D7" w:rsidRPr="000E4D2F" w:rsidRDefault="00E257D7" w:rsidP="003120B8">
      <w:pPr>
        <w:pStyle w:val="ListParagraph"/>
        <w:numPr>
          <w:ilvl w:val="0"/>
          <w:numId w:val="64"/>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problems with suitability for building/improvements</w:t>
      </w:r>
    </w:p>
    <w:p w14:paraId="57E83F19" w14:textId="77777777" w:rsidR="00DC009E" w:rsidRDefault="00DC009E" w:rsidP="00C654D9">
      <w:pPr>
        <w:rPr>
          <w:rFonts w:asciiTheme="majorHAnsi" w:hAnsiTheme="majorHAnsi" w:cstheme="majorHAnsi"/>
          <w:b/>
          <w:sz w:val="24"/>
          <w:szCs w:val="24"/>
        </w:rPr>
      </w:pPr>
    </w:p>
    <w:p w14:paraId="0DFD3F3A" w14:textId="18D9002B"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 xml:space="preserve">How does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aid in investigating soil issues?</w:t>
      </w:r>
    </w:p>
    <w:p w14:paraId="476F41C7"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sites detailing where soil conditions may be an issue, as well as a link to a list of certified engineers who can perform any needed inspections.</w:t>
      </w:r>
    </w:p>
    <w:p w14:paraId="123B417E" w14:textId="77777777" w:rsidR="00E257D7" w:rsidRPr="00802649" w:rsidRDefault="00E257D7" w:rsidP="00C654D9">
      <w:pPr>
        <w:rPr>
          <w:rFonts w:asciiTheme="majorHAnsi" w:hAnsiTheme="majorHAnsi" w:cstheme="majorHAnsi"/>
          <w:sz w:val="24"/>
          <w:szCs w:val="24"/>
        </w:rPr>
      </w:pPr>
    </w:p>
    <w:p w14:paraId="064C3C38"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Previous Fire/Flood</w:t>
      </w:r>
    </w:p>
    <w:p w14:paraId="35AEE1B9"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previous fires/floods?</w:t>
      </w:r>
    </w:p>
    <w:p w14:paraId="11164496"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possible future problems or needed repairs</w:t>
      </w:r>
    </w:p>
    <w:p w14:paraId="1E51E1D2"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existing damage and/or mold problems</w:t>
      </w:r>
    </w:p>
    <w:p w14:paraId="4650F906"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Adequacy of repair/remediation</w:t>
      </w:r>
    </w:p>
    <w:p w14:paraId="2B6E3CD0" w14:textId="77777777" w:rsidR="00E257D7" w:rsidRPr="000E4D2F" w:rsidRDefault="00E257D7" w:rsidP="003120B8">
      <w:pPr>
        <w:pStyle w:val="ListParagraph"/>
        <w:numPr>
          <w:ilvl w:val="0"/>
          <w:numId w:val="65"/>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Deficiencies on permits/inspections after repairs</w:t>
      </w:r>
    </w:p>
    <w:p w14:paraId="3F1FC50A" w14:textId="77777777" w:rsidR="00E257D7" w:rsidRPr="00802649" w:rsidRDefault="00E257D7" w:rsidP="00C654D9">
      <w:pPr>
        <w:rPr>
          <w:rFonts w:asciiTheme="majorHAnsi" w:hAnsiTheme="majorHAnsi" w:cstheme="majorHAnsi"/>
          <w:b/>
          <w:sz w:val="24"/>
          <w:szCs w:val="24"/>
        </w:rPr>
      </w:pPr>
    </w:p>
    <w:p w14:paraId="40D6E36E"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Pests</w:t>
      </w:r>
    </w:p>
    <w:p w14:paraId="0EDFC1C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complete a pest inspection?</w:t>
      </w:r>
    </w:p>
    <w:p w14:paraId="391A1928"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pest infestation which may be material to the buyer</w:t>
      </w:r>
    </w:p>
    <w:p w14:paraId="3943E4E7"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scorpions, roof rats, termites and bark beetles.</w:t>
      </w:r>
    </w:p>
    <w:p w14:paraId="7CB155C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Endangered and Threatened Species</w:t>
      </w:r>
    </w:p>
    <w:p w14:paraId="3A3551D2"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lastRenderedPageBreak/>
        <w:t>What risks are related to investigating issues related to endangered and threatened species?</w:t>
      </w:r>
    </w:p>
    <w:p w14:paraId="2A90AF8B"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impact on land uses and/or suitability</w:t>
      </w:r>
    </w:p>
    <w:p w14:paraId="0BAB4190"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U.S. Fish and Wildlife website to provide information for buyers if this is a concern.</w:t>
      </w:r>
    </w:p>
    <w:p w14:paraId="43FEF187" w14:textId="77777777" w:rsidR="00E257D7" w:rsidRPr="00802649" w:rsidRDefault="00E257D7" w:rsidP="00C654D9">
      <w:pPr>
        <w:rPr>
          <w:rFonts w:asciiTheme="majorHAnsi" w:hAnsiTheme="majorHAnsi" w:cstheme="majorHAnsi"/>
          <w:sz w:val="24"/>
          <w:szCs w:val="24"/>
        </w:rPr>
      </w:pPr>
    </w:p>
    <w:p w14:paraId="26849512" w14:textId="77777777" w:rsidR="00D71EE4" w:rsidRDefault="00D71EE4" w:rsidP="00C654D9">
      <w:pPr>
        <w:tabs>
          <w:tab w:val="center" w:pos="4680"/>
        </w:tabs>
        <w:rPr>
          <w:rFonts w:asciiTheme="majorHAnsi" w:hAnsiTheme="majorHAnsi" w:cstheme="majorHAnsi"/>
          <w:b/>
          <w:sz w:val="28"/>
          <w:szCs w:val="28"/>
        </w:rPr>
      </w:pPr>
    </w:p>
    <w:p w14:paraId="4757A2E3" w14:textId="77777777" w:rsidR="00E257D7" w:rsidRPr="00802649" w:rsidRDefault="00E257D7" w:rsidP="00C654D9">
      <w:pPr>
        <w:tabs>
          <w:tab w:val="center" w:pos="4680"/>
        </w:tabs>
        <w:rPr>
          <w:rFonts w:asciiTheme="majorHAnsi" w:hAnsiTheme="majorHAnsi" w:cstheme="majorHAnsi"/>
          <w:b/>
          <w:sz w:val="28"/>
          <w:szCs w:val="28"/>
        </w:rPr>
      </w:pPr>
      <w:r w:rsidRPr="00802649">
        <w:rPr>
          <w:rFonts w:asciiTheme="majorHAnsi" w:hAnsiTheme="majorHAnsi" w:cstheme="majorHAnsi"/>
          <w:b/>
          <w:sz w:val="28"/>
          <w:szCs w:val="28"/>
        </w:rPr>
        <w:t>Deaths and Felonies on the Property</w:t>
      </w:r>
      <w:r w:rsidRPr="00802649">
        <w:rPr>
          <w:rFonts w:asciiTheme="majorHAnsi" w:hAnsiTheme="majorHAnsi" w:cstheme="majorHAnsi"/>
          <w:b/>
          <w:sz w:val="28"/>
          <w:szCs w:val="28"/>
        </w:rPr>
        <w:tab/>
      </w:r>
    </w:p>
    <w:p w14:paraId="0810C60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Because sellers and listing brokers are not liable for failing to disclose this type of information, it is up to the buyer (if it is material to them) to investigate by contacting the local law enforcement agency.</w:t>
      </w:r>
    </w:p>
    <w:p w14:paraId="06896258" w14:textId="77777777" w:rsidR="00E257D7" w:rsidRPr="00802649" w:rsidRDefault="00E257D7" w:rsidP="00C654D9">
      <w:pPr>
        <w:rPr>
          <w:rFonts w:asciiTheme="majorHAnsi" w:hAnsiTheme="majorHAnsi" w:cstheme="majorHAnsi"/>
          <w:sz w:val="24"/>
          <w:szCs w:val="24"/>
        </w:rPr>
      </w:pPr>
    </w:p>
    <w:p w14:paraId="5F8E8A1B"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Indoor Environmental Concerns:</w:t>
      </w:r>
    </w:p>
    <w:p w14:paraId="7A551A3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related to failing to investigate the possible presence of mold?</w:t>
      </w:r>
    </w:p>
    <w:p w14:paraId="2DDC1CE8"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health hazards</w:t>
      </w:r>
    </w:p>
    <w:p w14:paraId="704DB13E" w14:textId="77777777" w:rsidR="00E257D7" w:rsidRPr="000E4D2F" w:rsidRDefault="00E257D7" w:rsidP="003120B8">
      <w:pPr>
        <w:pStyle w:val="ListParagraph"/>
        <w:numPr>
          <w:ilvl w:val="0"/>
          <w:numId w:val="66"/>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recognize signs indicating the presence of mold</w:t>
      </w:r>
    </w:p>
    <w:p w14:paraId="6F9583D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several links where buyers can find information and resources related to the presence of mold.</w:t>
      </w:r>
    </w:p>
    <w:p w14:paraId="55F0CEAA"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Radon Gas and Carbon Monoxide</w:t>
      </w:r>
    </w:p>
    <w:p w14:paraId="123522B5"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presence of radon gas and/or carbon monoxide should be investigated by a home inspector.  This can usually be done for an additional fee.  A link to information on state radon levels can be found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1B813028" w14:textId="77777777" w:rsidR="00CD45E1" w:rsidRDefault="00CD45E1" w:rsidP="00C654D9">
      <w:pPr>
        <w:rPr>
          <w:rFonts w:asciiTheme="majorHAnsi" w:hAnsiTheme="majorHAnsi" w:cstheme="majorHAnsi"/>
          <w:b/>
          <w:sz w:val="24"/>
          <w:szCs w:val="24"/>
        </w:rPr>
      </w:pPr>
    </w:p>
    <w:p w14:paraId="46211D1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Clandestine Drug Labs</w:t>
      </w:r>
    </w:p>
    <w:p w14:paraId="7F64C0EE" w14:textId="77777777" w:rsidR="00E257D7" w:rsidRPr="00E245B0" w:rsidRDefault="00186DA5" w:rsidP="00186DA5">
      <w:pPr>
        <w:rPr>
          <w:rFonts w:asciiTheme="majorHAnsi" w:hAnsiTheme="majorHAnsi" w:cstheme="majorHAnsi"/>
          <w:sz w:val="24"/>
          <w:szCs w:val="24"/>
        </w:rPr>
      </w:pPr>
      <w:r w:rsidRPr="00E245B0">
        <w:rPr>
          <w:rFonts w:asciiTheme="majorHAnsi" w:hAnsiTheme="majorHAnsi" w:cstheme="majorHAnsi"/>
          <w:sz w:val="24"/>
          <w:szCs w:val="24"/>
        </w:rPr>
        <w:t>Residual contamination arising from the illicit manufacture of methamphetamine and other drugs carried out in clandestine drug laboratories presents a serious risk of harm to human and environmental health.</w:t>
      </w:r>
    </w:p>
    <w:p w14:paraId="22BD3373" w14:textId="77777777" w:rsidR="00DC009E" w:rsidRDefault="00DC009E" w:rsidP="00C654D9">
      <w:pPr>
        <w:rPr>
          <w:rFonts w:asciiTheme="majorHAnsi" w:hAnsiTheme="majorHAnsi" w:cstheme="majorHAnsi"/>
          <w:b/>
          <w:sz w:val="24"/>
          <w:szCs w:val="24"/>
        </w:rPr>
      </w:pPr>
    </w:p>
    <w:p w14:paraId="574A6DA9" w14:textId="6295AA90"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Property Boundaries</w:t>
      </w:r>
    </w:p>
    <w:p w14:paraId="5D5DC855"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verify property boundaries?</w:t>
      </w:r>
    </w:p>
    <w:p w14:paraId="71DB39D8"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Disputes regarding encroachments and/or use of property by others</w:t>
      </w:r>
    </w:p>
    <w:p w14:paraId="024712ED"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a link to a list of surveyors.</w:t>
      </w:r>
    </w:p>
    <w:p w14:paraId="7BADC085" w14:textId="77777777" w:rsidR="00E257D7" w:rsidRPr="00802649" w:rsidRDefault="00E257D7" w:rsidP="00C654D9">
      <w:pPr>
        <w:rPr>
          <w:rFonts w:asciiTheme="majorHAnsi" w:hAnsiTheme="majorHAnsi" w:cstheme="majorHAnsi"/>
          <w:sz w:val="24"/>
          <w:szCs w:val="24"/>
        </w:rPr>
      </w:pPr>
    </w:p>
    <w:p w14:paraId="781ABCB6" w14:textId="77777777" w:rsidR="00696E22" w:rsidRDefault="00696E22">
      <w:pPr>
        <w:spacing w:after="0" w:line="240" w:lineRule="auto"/>
        <w:rPr>
          <w:rFonts w:asciiTheme="majorHAnsi" w:hAnsiTheme="majorHAnsi" w:cstheme="majorHAnsi"/>
          <w:b/>
          <w:sz w:val="28"/>
          <w:szCs w:val="28"/>
        </w:rPr>
      </w:pPr>
      <w:r>
        <w:rPr>
          <w:rFonts w:asciiTheme="majorHAnsi" w:hAnsiTheme="majorHAnsi" w:cstheme="majorHAnsi"/>
          <w:b/>
          <w:sz w:val="28"/>
          <w:szCs w:val="28"/>
        </w:rPr>
        <w:br w:type="page"/>
      </w:r>
    </w:p>
    <w:p w14:paraId="53BFB7E3" w14:textId="45E833DF"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lastRenderedPageBreak/>
        <w:t>Flood Plain Status</w:t>
      </w:r>
    </w:p>
    <w:p w14:paraId="7CFE5CE6"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whether the property is located in a flood plain?</w:t>
      </w:r>
    </w:p>
    <w:p w14:paraId="453ED0CD"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Increased insurance premiums</w:t>
      </w:r>
    </w:p>
    <w:p w14:paraId="15DD1C05"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comply with lender requirements to obtain flood hazard insurance</w:t>
      </w:r>
    </w:p>
    <w:p w14:paraId="5E88B399" w14:textId="77777777" w:rsidR="00E257D7" w:rsidRPr="000E4D2F" w:rsidRDefault="00E257D7" w:rsidP="003120B8">
      <w:pPr>
        <w:pStyle w:val="ListParagraph"/>
        <w:numPr>
          <w:ilvl w:val="0"/>
          <w:numId w:val="67"/>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on future improvements/encumbrances</w:t>
      </w:r>
    </w:p>
    <w:p w14:paraId="3D5ECEDF"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county and state websites where buyers can access information and location of flood plains.</w:t>
      </w:r>
    </w:p>
    <w:p w14:paraId="79331621" w14:textId="77777777" w:rsidR="00E257D7" w:rsidRPr="00802649" w:rsidRDefault="00E257D7" w:rsidP="00C654D9">
      <w:pPr>
        <w:rPr>
          <w:rFonts w:asciiTheme="majorHAnsi" w:hAnsiTheme="majorHAnsi" w:cstheme="majorHAnsi"/>
          <w:sz w:val="24"/>
          <w:szCs w:val="24"/>
        </w:rPr>
      </w:pPr>
    </w:p>
    <w:p w14:paraId="37E4D704"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Insurance (Claims History)</w:t>
      </w:r>
    </w:p>
    <w:p w14:paraId="61198500" w14:textId="77777777" w:rsidR="00E257D7" w:rsidRPr="00802649" w:rsidRDefault="00E257D7" w:rsidP="00C654D9">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issues related to the insurability of a property?</w:t>
      </w:r>
    </w:p>
    <w:p w14:paraId="2B1034F5"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homeowner’s insurance</w:t>
      </w:r>
    </w:p>
    <w:p w14:paraId="27CC5A52"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Inability to secure financing</w:t>
      </w:r>
    </w:p>
    <w:p w14:paraId="65B1C1EC"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understand the effect of past insurance claims</w:t>
      </w:r>
    </w:p>
    <w:p w14:paraId="6F69552C" w14:textId="77777777" w:rsidR="00E257D7" w:rsidRPr="000E4D2F" w:rsidRDefault="00E257D7" w:rsidP="003120B8">
      <w:pPr>
        <w:pStyle w:val="ListParagraph"/>
        <w:numPr>
          <w:ilvl w:val="0"/>
          <w:numId w:val="68"/>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Insurance cancellation</w:t>
      </w:r>
    </w:p>
    <w:p w14:paraId="36F55C0A"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homeowner’s insurance and order a claims history, as well as information on filing a complaint against an insurance company.</w:t>
      </w:r>
    </w:p>
    <w:p w14:paraId="7DD8CA90" w14:textId="77777777" w:rsidR="00E257D7" w:rsidRPr="00802649" w:rsidRDefault="00E257D7" w:rsidP="00C654D9">
      <w:pPr>
        <w:rPr>
          <w:rFonts w:asciiTheme="majorHAnsi" w:hAnsiTheme="majorHAnsi" w:cstheme="majorHAnsi"/>
          <w:sz w:val="24"/>
          <w:szCs w:val="24"/>
        </w:rPr>
      </w:pPr>
    </w:p>
    <w:p w14:paraId="2BCD0E98" w14:textId="77777777" w:rsidR="00E257D7" w:rsidRPr="00802649" w:rsidRDefault="00E257D7" w:rsidP="00C654D9">
      <w:pPr>
        <w:rPr>
          <w:rFonts w:asciiTheme="majorHAnsi" w:hAnsiTheme="majorHAnsi" w:cstheme="majorHAnsi"/>
          <w:b/>
          <w:sz w:val="28"/>
          <w:szCs w:val="28"/>
        </w:rPr>
      </w:pPr>
      <w:r w:rsidRPr="00802649">
        <w:rPr>
          <w:rFonts w:asciiTheme="majorHAnsi" w:hAnsiTheme="majorHAnsi" w:cstheme="majorHAnsi"/>
          <w:b/>
          <w:sz w:val="28"/>
          <w:szCs w:val="28"/>
        </w:rPr>
        <w:t>Other Property Conditions</w:t>
      </w:r>
    </w:p>
    <w:p w14:paraId="74B5AC7E" w14:textId="77777777" w:rsidR="00E257D7" w:rsidRPr="00802649" w:rsidRDefault="00E257D7" w:rsidP="00C654D9">
      <w:pPr>
        <w:rPr>
          <w:rFonts w:asciiTheme="majorHAnsi" w:hAnsiTheme="majorHAnsi" w:cstheme="majorHAnsi"/>
          <w:sz w:val="24"/>
          <w:szCs w:val="24"/>
        </w:rPr>
      </w:pPr>
      <w:r w:rsidRPr="00802649">
        <w:rPr>
          <w:rFonts w:asciiTheme="majorHAnsi" w:hAnsiTheme="majorHAnsi" w:cstheme="majorHAnsi"/>
          <w:sz w:val="24"/>
          <w:szCs w:val="24"/>
        </w:rPr>
        <w:t>What risks are associated with failing to investigate the functionality of plumbing, cooling/heating systems and electrical systems?</w:t>
      </w:r>
    </w:p>
    <w:p w14:paraId="78A749DB" w14:textId="77777777"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Possible presence of polybutylene pipes</w:t>
      </w:r>
    </w:p>
    <w:p w14:paraId="44C94454" w14:textId="77777777" w:rsidR="00E257D7" w:rsidRPr="000E4D2F" w:rsidRDefault="00E257D7" w:rsidP="003120B8">
      <w:pPr>
        <w:pStyle w:val="ListParagraph"/>
        <w:numPr>
          <w:ilvl w:val="0"/>
          <w:numId w:val="69"/>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needed repairs</w:t>
      </w:r>
    </w:p>
    <w:p w14:paraId="784F2866" w14:textId="77777777" w:rsidR="00E257D7" w:rsidRPr="00802649" w:rsidRDefault="00E257D7" w:rsidP="00C654D9">
      <w:pPr>
        <w:rPr>
          <w:rFonts w:asciiTheme="majorHAnsi" w:hAnsiTheme="majorHAnsi" w:cstheme="majorHAnsi"/>
          <w:sz w:val="24"/>
          <w:szCs w:val="24"/>
        </w:rPr>
      </w:pPr>
    </w:p>
    <w:p w14:paraId="0FCDC1C0"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638E9D6B" w14:textId="77777777" w:rsidR="00E257D7" w:rsidRPr="00802649" w:rsidRDefault="00E257D7" w:rsidP="00DF11EA">
      <w:pPr>
        <w:pStyle w:val="Heading1"/>
        <w:rPr>
          <w:rFonts w:asciiTheme="majorHAnsi" w:hAnsiTheme="majorHAnsi" w:cstheme="majorHAnsi"/>
          <w:sz w:val="32"/>
          <w:szCs w:val="32"/>
        </w:rPr>
      </w:pPr>
      <w:bookmarkStart w:id="28" w:name="_Toc65239073"/>
      <w:r w:rsidRPr="00D71EE4">
        <w:rPr>
          <w:rFonts w:asciiTheme="majorHAnsi" w:hAnsiTheme="majorHAnsi" w:cstheme="majorHAnsi"/>
          <w:color w:val="auto"/>
          <w:sz w:val="32"/>
          <w:szCs w:val="32"/>
        </w:rPr>
        <w:lastRenderedPageBreak/>
        <w:t>Unit 2, Segment 4: Surrounding Area Conditions</w:t>
      </w:r>
      <w:bookmarkEnd w:id="28"/>
    </w:p>
    <w:p w14:paraId="7139F453" w14:textId="77777777" w:rsidR="00E257D7" w:rsidRPr="00802649" w:rsidRDefault="00E257D7" w:rsidP="00DF11EA">
      <w:pPr>
        <w:rPr>
          <w:rFonts w:asciiTheme="majorHAnsi" w:hAnsiTheme="majorHAnsi" w:cstheme="majorHAnsi"/>
          <w:b/>
          <w:i/>
          <w:color w:val="FF0000"/>
          <w:sz w:val="24"/>
          <w:szCs w:val="24"/>
        </w:rPr>
      </w:pPr>
    </w:p>
    <w:p w14:paraId="575F07EA" w14:textId="77777777" w:rsidR="00E257D7" w:rsidRPr="000E4D2F" w:rsidRDefault="00E257D7" w:rsidP="00DF11EA">
      <w:p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Timing: 20 minutes for this segment</w:t>
      </w:r>
    </w:p>
    <w:p w14:paraId="73BF8E45"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Learning objective of this segment:</w:t>
      </w:r>
    </w:p>
    <w:p w14:paraId="16C1ED59" w14:textId="77777777" w:rsidR="00E257D7" w:rsidRPr="00802649" w:rsidRDefault="00E257D7" w:rsidP="003120B8">
      <w:pPr>
        <w:pStyle w:val="ListParagraph"/>
        <w:numPr>
          <w:ilvl w:val="0"/>
          <w:numId w:val="17"/>
        </w:numPr>
        <w:rPr>
          <w:rFonts w:asciiTheme="majorHAnsi" w:hAnsiTheme="majorHAnsi" w:cstheme="majorHAnsi"/>
          <w:sz w:val="24"/>
          <w:szCs w:val="24"/>
        </w:rPr>
      </w:pPr>
      <w:r w:rsidRPr="00802649">
        <w:rPr>
          <w:rFonts w:asciiTheme="majorHAnsi" w:hAnsiTheme="majorHAnsi" w:cstheme="majorHAnsi"/>
          <w:sz w:val="24"/>
          <w:szCs w:val="24"/>
        </w:rPr>
        <w:t>To identify risks associated with sellers failing to complete the appropriate investigations of conditions affecting the surrounding area</w:t>
      </w:r>
    </w:p>
    <w:p w14:paraId="28BB219C" w14:textId="77777777" w:rsidR="00E257D7" w:rsidRPr="00802649" w:rsidRDefault="00E257D7" w:rsidP="00DF11EA">
      <w:pPr>
        <w:rPr>
          <w:rFonts w:asciiTheme="majorHAnsi" w:hAnsiTheme="majorHAnsi" w:cstheme="majorHAnsi"/>
          <w:b/>
          <w:sz w:val="28"/>
          <w:szCs w:val="28"/>
        </w:rPr>
      </w:pPr>
    </w:p>
    <w:p w14:paraId="2E0532F1"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Environmental Concerns</w:t>
      </w:r>
    </w:p>
    <w:p w14:paraId="18801627"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environmental concerns?</w:t>
      </w:r>
    </w:p>
    <w:p w14:paraId="04DE9E67" w14:textId="77777777"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consider the proximity of landfills or environmental hazards</w:t>
      </w:r>
    </w:p>
    <w:p w14:paraId="6B6F8CCA"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regarding the location of landfills, wildfire information, air and water quality and more.</w:t>
      </w:r>
    </w:p>
    <w:p w14:paraId="31790424" w14:textId="77777777" w:rsidR="00E257D7" w:rsidRPr="00802649" w:rsidRDefault="00E257D7" w:rsidP="00DF11EA">
      <w:pPr>
        <w:rPr>
          <w:rFonts w:asciiTheme="majorHAnsi" w:hAnsiTheme="majorHAnsi" w:cstheme="majorHAnsi"/>
          <w:sz w:val="24"/>
          <w:szCs w:val="24"/>
        </w:rPr>
      </w:pPr>
    </w:p>
    <w:p w14:paraId="0AA09C24"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Electromagnetic Fields</w:t>
      </w:r>
    </w:p>
    <w:p w14:paraId="4E92DA5C"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information on electromagnetic fields and potential associated health risks.</w:t>
      </w:r>
    </w:p>
    <w:p w14:paraId="72CFC79F" w14:textId="77777777" w:rsidR="00E257D7" w:rsidRPr="00802649" w:rsidRDefault="00E257D7" w:rsidP="00DF11EA">
      <w:pPr>
        <w:rPr>
          <w:rFonts w:asciiTheme="majorHAnsi" w:hAnsiTheme="majorHAnsi" w:cstheme="majorHAnsi"/>
          <w:sz w:val="24"/>
          <w:szCs w:val="24"/>
        </w:rPr>
      </w:pPr>
    </w:p>
    <w:p w14:paraId="282A148D"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Superfund Sites</w:t>
      </w:r>
    </w:p>
    <w:p w14:paraId="71632D60"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superfund sites?</w:t>
      </w:r>
    </w:p>
    <w:p w14:paraId="04D0B902" w14:textId="77777777" w:rsidR="00E257D7" w:rsidRPr="000E4D2F" w:rsidRDefault="00E257D7" w:rsidP="003120B8">
      <w:pPr>
        <w:pStyle w:val="ListParagraph"/>
        <w:numPr>
          <w:ilvl w:val="0"/>
          <w:numId w:val="70"/>
        </w:numPr>
        <w:rPr>
          <w:rFonts w:asciiTheme="majorHAnsi" w:hAnsiTheme="majorHAnsi" w:cstheme="majorHAnsi"/>
          <w:b/>
          <w:i/>
          <w:vanish/>
          <w:color w:val="FF0000"/>
          <w:sz w:val="24"/>
          <w:szCs w:val="24"/>
        </w:rPr>
      </w:pPr>
      <w:r w:rsidRPr="000E4D2F">
        <w:rPr>
          <w:rFonts w:asciiTheme="majorHAnsi" w:hAnsiTheme="majorHAnsi" w:cstheme="majorHAnsi"/>
          <w:b/>
          <w:i/>
          <w:vanish/>
          <w:color w:val="FF0000"/>
          <w:sz w:val="24"/>
          <w:szCs w:val="24"/>
        </w:rPr>
        <w:t>Failure to identify a property as being in an area designated by the ADEQ as requiring cleanup</w:t>
      </w:r>
    </w:p>
    <w:p w14:paraId="5656426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the ADEQ and EPA websites where buyers can view maps and obtain further information.</w:t>
      </w:r>
    </w:p>
    <w:p w14:paraId="463DC6CD" w14:textId="77777777" w:rsidR="00E257D7" w:rsidRPr="00802649" w:rsidRDefault="00E257D7" w:rsidP="00DF11EA">
      <w:pPr>
        <w:rPr>
          <w:rFonts w:asciiTheme="majorHAnsi" w:hAnsiTheme="majorHAnsi" w:cstheme="majorHAnsi"/>
          <w:sz w:val="24"/>
          <w:szCs w:val="24"/>
        </w:rPr>
      </w:pPr>
    </w:p>
    <w:p w14:paraId="4B008375" w14:textId="77777777" w:rsidR="00E257D7" w:rsidRPr="00802649" w:rsidRDefault="00E257D7">
      <w:pPr>
        <w:rPr>
          <w:rFonts w:asciiTheme="majorHAnsi" w:hAnsiTheme="majorHAnsi" w:cstheme="majorHAnsi"/>
          <w:b/>
          <w:sz w:val="24"/>
          <w:szCs w:val="24"/>
        </w:rPr>
      </w:pPr>
      <w:r w:rsidRPr="00802649">
        <w:rPr>
          <w:rFonts w:asciiTheme="majorHAnsi" w:hAnsiTheme="majorHAnsi" w:cstheme="majorHAnsi"/>
          <w:b/>
          <w:sz w:val="24"/>
          <w:szCs w:val="24"/>
        </w:rPr>
        <w:br w:type="page"/>
      </w:r>
    </w:p>
    <w:p w14:paraId="6DC0094D"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lastRenderedPageBreak/>
        <w:t>Freeway Construction and Traffic Conditions</w:t>
      </w:r>
    </w:p>
    <w:p w14:paraId="7B31BB17"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of existing and planned freeways?</w:t>
      </w:r>
    </w:p>
    <w:p w14:paraId="3DE365C1"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undesirable noise</w:t>
      </w:r>
    </w:p>
    <w:p w14:paraId="57C37574"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discover planned roadway construction affecting the property</w:t>
      </w:r>
    </w:p>
    <w:p w14:paraId="007DC2E7" w14:textId="77777777" w:rsidR="00E257D7" w:rsidRPr="003120B8" w:rsidRDefault="00E257D7" w:rsidP="003120B8">
      <w:pPr>
        <w:pStyle w:val="ListParagraph"/>
        <w:numPr>
          <w:ilvl w:val="0"/>
          <w:numId w:val="70"/>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account for traffic conditions</w:t>
      </w:r>
    </w:p>
    <w:p w14:paraId="73AAD0A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to the Arizona Department of Transportation where buyers can access information on roadway construction and planning, as well as a link to investigate traffic conditions in the surrounding area.</w:t>
      </w:r>
    </w:p>
    <w:p w14:paraId="7B12EA4F" w14:textId="77777777" w:rsidR="00E257D7" w:rsidRPr="00802649" w:rsidRDefault="00E257D7" w:rsidP="00DF11EA">
      <w:pPr>
        <w:rPr>
          <w:rFonts w:asciiTheme="majorHAnsi" w:hAnsiTheme="majorHAnsi" w:cstheme="majorHAnsi"/>
          <w:sz w:val="24"/>
          <w:szCs w:val="24"/>
        </w:rPr>
      </w:pPr>
    </w:p>
    <w:p w14:paraId="1FB3D010"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Crime Statistics</w:t>
      </w:r>
    </w:p>
    <w:p w14:paraId="5041B6ED"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Many buyers consider crime statistics in the surrounding area material to their decision to purchase property.  The Buyer Advisory provides links to city crime statistics as well as contact information for local law enforcement agencies.</w:t>
      </w:r>
    </w:p>
    <w:p w14:paraId="04137605" w14:textId="77777777" w:rsidR="00E257D7" w:rsidRPr="00802649" w:rsidRDefault="00E257D7" w:rsidP="00DF11EA">
      <w:pPr>
        <w:rPr>
          <w:rFonts w:asciiTheme="majorHAnsi" w:hAnsiTheme="majorHAnsi" w:cstheme="majorHAnsi"/>
          <w:sz w:val="24"/>
          <w:szCs w:val="24"/>
        </w:rPr>
      </w:pPr>
    </w:p>
    <w:p w14:paraId="79A36213"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Sex Offenders</w:t>
      </w:r>
    </w:p>
    <w:p w14:paraId="0BF65EF4"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Sellers are not required to disclose the presence of sex offenders in the surrounding area.  Buyers, especially those with children, may wish to access the state sex offender registry to investigate the possible presence of sex offenders in the vicinity.  A link to the registry is contained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w:t>
      </w:r>
    </w:p>
    <w:p w14:paraId="05A5676C" w14:textId="77777777" w:rsidR="00E257D7" w:rsidRPr="00802649" w:rsidRDefault="00E257D7" w:rsidP="00DF11EA">
      <w:pPr>
        <w:rPr>
          <w:rFonts w:asciiTheme="majorHAnsi" w:hAnsiTheme="majorHAnsi" w:cstheme="majorHAnsi"/>
          <w:sz w:val="24"/>
          <w:szCs w:val="24"/>
        </w:rPr>
      </w:pPr>
    </w:p>
    <w:p w14:paraId="357D573A"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Military and Public Airports</w:t>
      </w:r>
    </w:p>
    <w:p w14:paraId="2488205E"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the proximity to military and/or public airports?</w:t>
      </w:r>
    </w:p>
    <w:p w14:paraId="154E76E4" w14:textId="77777777" w:rsidR="00E257D7"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air traffic noise and disturbances</w:t>
      </w:r>
    </w:p>
    <w:p w14:paraId="7E33B9E7" w14:textId="77777777" w:rsidR="00544A88" w:rsidRPr="00E245B0" w:rsidRDefault="00544A88" w:rsidP="003120B8">
      <w:pPr>
        <w:pStyle w:val="ListParagraph"/>
        <w:numPr>
          <w:ilvl w:val="0"/>
          <w:numId w:val="71"/>
        </w:numPr>
        <w:rPr>
          <w:rFonts w:asciiTheme="majorHAnsi" w:hAnsiTheme="majorHAnsi" w:cstheme="majorHAnsi"/>
          <w:b/>
          <w:i/>
          <w:vanish/>
          <w:color w:val="FF0000"/>
          <w:sz w:val="24"/>
          <w:szCs w:val="24"/>
        </w:rPr>
      </w:pPr>
      <w:r w:rsidRPr="00E245B0">
        <w:rPr>
          <w:rFonts w:asciiTheme="majorHAnsi" w:hAnsiTheme="majorHAnsi" w:cstheme="majorHAnsi"/>
          <w:b/>
          <w:i/>
          <w:vanish/>
          <w:color w:val="FF0000"/>
          <w:sz w:val="24"/>
          <w:szCs w:val="24"/>
        </w:rPr>
        <w:t>Failure to build on</w:t>
      </w:r>
    </w:p>
    <w:p w14:paraId="216FD226"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where buyers can access maps of military and public airports to determine proximity.</w:t>
      </w:r>
    </w:p>
    <w:p w14:paraId="59DDBFC3" w14:textId="468F8AA9" w:rsidR="00E257D7" w:rsidRPr="00290E33" w:rsidRDefault="00290E33" w:rsidP="00DF11EA">
      <w:pPr>
        <w:rPr>
          <w:rFonts w:asciiTheme="majorHAnsi" w:hAnsiTheme="majorHAnsi" w:cstheme="majorHAnsi"/>
          <w:b/>
          <w:bCs/>
          <w:vanish/>
          <w:color w:val="4F81BD" w:themeColor="accent1"/>
          <w:sz w:val="24"/>
          <w:szCs w:val="24"/>
        </w:rPr>
      </w:pPr>
      <w:r w:rsidRPr="00290E33">
        <w:rPr>
          <w:rFonts w:asciiTheme="majorHAnsi" w:hAnsiTheme="majorHAnsi" w:cstheme="majorHAnsi"/>
          <w:b/>
          <w:bCs/>
          <w:vanish/>
          <w:color w:val="4F81BD" w:themeColor="accent1"/>
          <w:sz w:val="24"/>
          <w:szCs w:val="24"/>
        </w:rPr>
        <w:t>ZOOM POLL QUESTION:</w:t>
      </w:r>
      <w:proofErr w:type="gramStart"/>
      <w:r w:rsidRPr="00290E33">
        <w:rPr>
          <w:rFonts w:asciiTheme="majorHAnsi" w:hAnsiTheme="majorHAnsi" w:cstheme="majorHAnsi"/>
          <w:b/>
          <w:bCs/>
          <w:vanish/>
          <w:color w:val="4F81BD" w:themeColor="accent1"/>
          <w:sz w:val="24"/>
          <w:szCs w:val="24"/>
        </w:rPr>
        <w:t xml:space="preserve">  </w:t>
      </w:r>
      <w:r>
        <w:rPr>
          <w:rFonts w:asciiTheme="majorHAnsi" w:hAnsiTheme="majorHAnsi" w:cstheme="majorHAnsi"/>
          <w:b/>
          <w:bCs/>
          <w:vanish/>
          <w:color w:val="4F81BD" w:themeColor="accent1"/>
          <w:sz w:val="24"/>
          <w:szCs w:val="24"/>
        </w:rPr>
        <w:t>???</w:t>
      </w:r>
      <w:proofErr w:type="gramEnd"/>
    </w:p>
    <w:p w14:paraId="2B129261" w14:textId="77777777" w:rsidR="00E257D7" w:rsidRPr="00802649" w:rsidRDefault="00E257D7" w:rsidP="00DF11EA">
      <w:pPr>
        <w:rPr>
          <w:rFonts w:asciiTheme="majorHAnsi" w:hAnsiTheme="majorHAnsi" w:cstheme="majorHAnsi"/>
          <w:b/>
          <w:sz w:val="28"/>
          <w:szCs w:val="24"/>
        </w:rPr>
      </w:pPr>
      <w:r w:rsidRPr="00802649">
        <w:rPr>
          <w:rFonts w:asciiTheme="majorHAnsi" w:hAnsiTheme="majorHAnsi" w:cstheme="majorHAnsi"/>
          <w:b/>
          <w:sz w:val="24"/>
          <w:szCs w:val="24"/>
        </w:rPr>
        <w:br w:type="page"/>
      </w:r>
      <w:r w:rsidRPr="00802649">
        <w:rPr>
          <w:rFonts w:asciiTheme="majorHAnsi" w:hAnsiTheme="majorHAnsi" w:cstheme="majorHAnsi"/>
          <w:b/>
          <w:sz w:val="28"/>
          <w:szCs w:val="24"/>
        </w:rPr>
        <w:lastRenderedPageBreak/>
        <w:t>Forested Areas</w:t>
      </w:r>
    </w:p>
    <w:p w14:paraId="0286545B"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Buyers purchasing property in a forested area may wish to obtain information on wildfires.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links to resources where buyers can obtain information on protecting their property.</w:t>
      </w:r>
    </w:p>
    <w:p w14:paraId="765ED49D" w14:textId="77777777" w:rsidR="00E257D7" w:rsidRPr="00802649" w:rsidRDefault="00E257D7" w:rsidP="00DF11EA">
      <w:pPr>
        <w:rPr>
          <w:rFonts w:asciiTheme="majorHAnsi" w:hAnsiTheme="majorHAnsi" w:cstheme="majorHAnsi"/>
          <w:sz w:val="24"/>
          <w:szCs w:val="24"/>
        </w:rPr>
      </w:pPr>
    </w:p>
    <w:p w14:paraId="2F0F75A9"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Zoning/Planning/Neighborhood Services</w:t>
      </w:r>
    </w:p>
    <w:p w14:paraId="7F21B114"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zoning and planning issues?</w:t>
      </w:r>
    </w:p>
    <w:p w14:paraId="4A93408E"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Inability to subdivide or split property</w:t>
      </w:r>
    </w:p>
    <w:p w14:paraId="0E205DD5"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intended use</w:t>
      </w:r>
    </w:p>
    <w:p w14:paraId="0ABC6A7B" w14:textId="77777777" w:rsidR="00E257D7" w:rsidRPr="003120B8" w:rsidRDefault="00E257D7" w:rsidP="003120B8">
      <w:pPr>
        <w:pStyle w:val="ListParagraph"/>
        <w:numPr>
          <w:ilvl w:val="0"/>
          <w:numId w:val="71"/>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Suitability for septic or on-site wastewater treatment facility</w:t>
      </w:r>
    </w:p>
    <w:p w14:paraId="794DA9B3"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 xml:space="preserve">Buyer Advisory </w:t>
      </w:r>
      <w:r w:rsidRPr="00802649">
        <w:rPr>
          <w:rFonts w:asciiTheme="majorHAnsi" w:hAnsiTheme="majorHAnsi" w:cstheme="majorHAnsi"/>
          <w:sz w:val="24"/>
          <w:szCs w:val="24"/>
        </w:rPr>
        <w:t>contains links to various city and town planning departments.</w:t>
      </w:r>
    </w:p>
    <w:p w14:paraId="337440FF" w14:textId="77777777" w:rsidR="00E257D7" w:rsidRPr="00802649" w:rsidRDefault="00E257D7" w:rsidP="00DF11EA">
      <w:pPr>
        <w:rPr>
          <w:rFonts w:asciiTheme="majorHAnsi" w:hAnsiTheme="majorHAnsi" w:cstheme="majorHAnsi"/>
          <w:sz w:val="24"/>
          <w:szCs w:val="24"/>
        </w:rPr>
      </w:pPr>
    </w:p>
    <w:p w14:paraId="0DEE51FA"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Schools</w:t>
      </w:r>
    </w:p>
    <w:p w14:paraId="0ACBA769" w14:textId="77777777" w:rsidR="00E257D7" w:rsidRPr="00802649" w:rsidRDefault="00E257D7" w:rsidP="00DF11EA">
      <w:pPr>
        <w:rPr>
          <w:rFonts w:asciiTheme="majorHAnsi" w:hAnsiTheme="majorHAnsi" w:cstheme="majorHAnsi"/>
          <w:b/>
          <w:sz w:val="24"/>
          <w:szCs w:val="24"/>
        </w:rPr>
      </w:pPr>
      <w:r w:rsidRPr="00802649">
        <w:rPr>
          <w:rFonts w:asciiTheme="majorHAnsi" w:hAnsiTheme="majorHAnsi" w:cstheme="majorHAnsi"/>
          <w:b/>
          <w:sz w:val="24"/>
          <w:szCs w:val="24"/>
        </w:rPr>
        <w:t>What risks are associated with failing to investigate area schools?</w:t>
      </w:r>
    </w:p>
    <w:p w14:paraId="41E2147A"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Failure to consider enrollment caps, school ratings and state standards</w:t>
      </w:r>
    </w:p>
    <w:p w14:paraId="1938620A"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For buyers with school-aged children, the condition and availability of area schools may be a significant consideration.  Links are available in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to investigate area schools.  Buyers are also recommended to make an on-site visit to the school.</w:t>
      </w:r>
    </w:p>
    <w:p w14:paraId="2315EBAE" w14:textId="77777777" w:rsidR="00E257D7" w:rsidRPr="00802649" w:rsidRDefault="00E257D7" w:rsidP="00DF11EA">
      <w:pPr>
        <w:rPr>
          <w:rFonts w:asciiTheme="majorHAnsi" w:hAnsiTheme="majorHAnsi" w:cstheme="majorHAnsi"/>
          <w:sz w:val="24"/>
          <w:szCs w:val="24"/>
        </w:rPr>
      </w:pPr>
    </w:p>
    <w:p w14:paraId="1AFF4815" w14:textId="77777777" w:rsidR="00E257D7" w:rsidRPr="00802649" w:rsidRDefault="00E257D7" w:rsidP="00DF11EA">
      <w:pPr>
        <w:rPr>
          <w:rFonts w:asciiTheme="majorHAnsi" w:hAnsiTheme="majorHAnsi" w:cstheme="majorHAnsi"/>
          <w:b/>
          <w:sz w:val="28"/>
          <w:szCs w:val="28"/>
        </w:rPr>
      </w:pPr>
      <w:r w:rsidRPr="00802649">
        <w:rPr>
          <w:rFonts w:asciiTheme="majorHAnsi" w:hAnsiTheme="majorHAnsi" w:cstheme="majorHAnsi"/>
          <w:b/>
          <w:sz w:val="28"/>
          <w:szCs w:val="28"/>
        </w:rPr>
        <w:t>City Profile Report</w:t>
      </w:r>
    </w:p>
    <w:p w14:paraId="4E7D0740" w14:textId="77777777" w:rsidR="00E257D7" w:rsidRPr="00802649" w:rsidRDefault="00E257D7" w:rsidP="00DF11EA">
      <w:pPr>
        <w:rPr>
          <w:rFonts w:asciiTheme="majorHAnsi" w:hAnsiTheme="majorHAnsi" w:cstheme="majorHAnsi"/>
          <w:sz w:val="24"/>
          <w:szCs w:val="24"/>
        </w:rPr>
      </w:pPr>
      <w:r w:rsidRPr="00802649">
        <w:rPr>
          <w:rFonts w:asciiTheme="majorHAnsi" w:hAnsiTheme="majorHAnsi" w:cstheme="majorHAnsi"/>
          <w:sz w:val="24"/>
          <w:szCs w:val="24"/>
        </w:rPr>
        <w:t xml:space="preserve">Obtaining a city profile report may be important to buyers, especially those relocating from another area.  These reports contain information such as demographics and finances from a number of sources.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contains a link where buyers can access city profiles.</w:t>
      </w:r>
    </w:p>
    <w:p w14:paraId="2D8BEFE1" w14:textId="77777777" w:rsidR="00E257D7" w:rsidRPr="00802649" w:rsidRDefault="00E257D7">
      <w:pPr>
        <w:rPr>
          <w:rFonts w:asciiTheme="majorHAnsi" w:hAnsiTheme="majorHAnsi" w:cstheme="majorHAnsi"/>
          <w:sz w:val="24"/>
          <w:szCs w:val="24"/>
        </w:rPr>
      </w:pPr>
      <w:r w:rsidRPr="00802649">
        <w:rPr>
          <w:rFonts w:asciiTheme="majorHAnsi" w:hAnsiTheme="majorHAnsi" w:cstheme="majorHAnsi"/>
          <w:sz w:val="24"/>
          <w:szCs w:val="24"/>
        </w:rPr>
        <w:br w:type="page"/>
      </w:r>
    </w:p>
    <w:p w14:paraId="6C7E451B" w14:textId="77777777" w:rsidR="00E257D7" w:rsidRPr="00802649" w:rsidRDefault="00E257D7" w:rsidP="002D58A7">
      <w:pPr>
        <w:rPr>
          <w:rFonts w:asciiTheme="majorHAnsi" w:hAnsiTheme="majorHAnsi" w:cstheme="majorHAnsi"/>
          <w:b/>
          <w:sz w:val="28"/>
          <w:szCs w:val="28"/>
        </w:rPr>
      </w:pPr>
      <w:r w:rsidRPr="00802649">
        <w:rPr>
          <w:rFonts w:asciiTheme="majorHAnsi" w:hAnsiTheme="majorHAnsi" w:cstheme="majorHAnsi"/>
          <w:b/>
          <w:sz w:val="28"/>
          <w:szCs w:val="28"/>
        </w:rPr>
        <w:lastRenderedPageBreak/>
        <w:t xml:space="preserve">Due Diligence Conclusion </w:t>
      </w:r>
    </w:p>
    <w:p w14:paraId="432E09C1" w14:textId="77777777" w:rsidR="00E257D7" w:rsidRPr="003120B8" w:rsidRDefault="00E257D7" w:rsidP="002D58A7">
      <w:p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Timing: 10 minutes</w:t>
      </w:r>
    </w:p>
    <w:p w14:paraId="58390F26" w14:textId="77777777" w:rsidR="00E257D7" w:rsidRPr="00802649" w:rsidRDefault="00E257D7" w:rsidP="002D58A7">
      <w:pPr>
        <w:rPr>
          <w:rFonts w:asciiTheme="majorHAnsi" w:hAnsiTheme="majorHAnsi" w:cstheme="majorHAnsi"/>
          <w:sz w:val="24"/>
          <w:szCs w:val="24"/>
        </w:rPr>
      </w:pPr>
      <w:r w:rsidRPr="00802649">
        <w:rPr>
          <w:rFonts w:asciiTheme="majorHAnsi" w:hAnsiTheme="majorHAnsi" w:cstheme="majorHAnsi"/>
          <w:sz w:val="24"/>
          <w:szCs w:val="24"/>
        </w:rPr>
        <w:t xml:space="preserve">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was created to allow buyers to take a more active role in completing desired inspections and investigations on a property.  The </w:t>
      </w:r>
      <w:r w:rsidRPr="00802649">
        <w:rPr>
          <w:rFonts w:asciiTheme="majorHAnsi" w:hAnsiTheme="majorHAnsi" w:cstheme="majorHAnsi"/>
          <w:i/>
          <w:sz w:val="24"/>
          <w:szCs w:val="24"/>
        </w:rPr>
        <w:t>Buyer Advisory</w:t>
      </w:r>
      <w:r w:rsidRPr="00802649">
        <w:rPr>
          <w:rFonts w:asciiTheme="majorHAnsi" w:hAnsiTheme="majorHAnsi" w:cstheme="majorHAnsi"/>
          <w:sz w:val="24"/>
          <w:szCs w:val="24"/>
        </w:rPr>
        <w:t xml:space="preserve"> also encourages buyers to familiarize themselves with a property by talking to neighbors and driving around the neighborhood.  Additional links are provided to assist buyers in obtaining further information on government agencies and fair housing issues. </w:t>
      </w:r>
    </w:p>
    <w:p w14:paraId="095EB38D" w14:textId="5E399772" w:rsidR="00CF2FDB" w:rsidRDefault="00CF2FDB" w:rsidP="002D58A7">
      <w:pPr>
        <w:rPr>
          <w:rFonts w:asciiTheme="majorHAnsi" w:hAnsiTheme="majorHAnsi" w:cstheme="majorHAnsi"/>
          <w:b/>
          <w:sz w:val="24"/>
          <w:szCs w:val="24"/>
        </w:rPr>
      </w:pPr>
      <w:r>
        <w:rPr>
          <w:rFonts w:asciiTheme="majorHAnsi" w:hAnsiTheme="majorHAnsi" w:cstheme="majorHAnsi"/>
          <w:b/>
          <w:sz w:val="24"/>
          <w:szCs w:val="24"/>
        </w:rPr>
        <w:t>Instructor:  How do you explain the buyer advisory to your buyer to get the buyer to do their due diligence</w:t>
      </w:r>
    </w:p>
    <w:p w14:paraId="2006FD13" w14:textId="2DC212F9" w:rsidR="00E257D7" w:rsidRPr="00802649" w:rsidRDefault="00E257D7" w:rsidP="002D58A7">
      <w:pPr>
        <w:rPr>
          <w:rFonts w:asciiTheme="majorHAnsi" w:hAnsiTheme="majorHAnsi" w:cstheme="majorHAnsi"/>
          <w:b/>
          <w:sz w:val="24"/>
          <w:szCs w:val="24"/>
        </w:rPr>
      </w:pPr>
      <w:r w:rsidRPr="00802649">
        <w:rPr>
          <w:rFonts w:asciiTheme="majorHAnsi" w:hAnsiTheme="majorHAnsi" w:cstheme="majorHAnsi"/>
          <w:b/>
          <w:sz w:val="24"/>
          <w:szCs w:val="24"/>
        </w:rPr>
        <w:t xml:space="preserve">How can you use the </w:t>
      </w:r>
      <w:r w:rsidRPr="00802649">
        <w:rPr>
          <w:rFonts w:asciiTheme="majorHAnsi" w:hAnsiTheme="majorHAnsi" w:cstheme="majorHAnsi"/>
          <w:b/>
          <w:i/>
          <w:sz w:val="24"/>
          <w:szCs w:val="24"/>
        </w:rPr>
        <w:t>Buyer Advisory</w:t>
      </w:r>
      <w:r w:rsidRPr="00802649">
        <w:rPr>
          <w:rFonts w:asciiTheme="majorHAnsi" w:hAnsiTheme="majorHAnsi" w:cstheme="majorHAnsi"/>
          <w:b/>
          <w:sz w:val="24"/>
          <w:szCs w:val="24"/>
        </w:rPr>
        <w:t xml:space="preserve"> to assist buyers in completing due diligence inspections and investigations?</w:t>
      </w:r>
    </w:p>
    <w:p w14:paraId="47277454" w14:textId="77777777" w:rsidR="00E257D7" w:rsidRPr="00802649" w:rsidRDefault="00E257D7" w:rsidP="002D58A7">
      <w:pPr>
        <w:rPr>
          <w:rFonts w:asciiTheme="majorHAnsi" w:hAnsiTheme="majorHAnsi" w:cstheme="majorHAnsi"/>
          <w:sz w:val="24"/>
          <w:szCs w:val="24"/>
        </w:rPr>
      </w:pPr>
    </w:p>
    <w:p w14:paraId="4FA69DB8"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Identify important issues</w:t>
      </w:r>
    </w:p>
    <w:p w14:paraId="45FD8891" w14:textId="77777777" w:rsidR="00E257D7" w:rsidRPr="00802649" w:rsidRDefault="00E257D7" w:rsidP="002D58A7">
      <w:pPr>
        <w:pStyle w:val="ListParagraph"/>
        <w:ind w:left="765"/>
        <w:rPr>
          <w:rFonts w:asciiTheme="majorHAnsi" w:hAnsiTheme="majorHAnsi" w:cstheme="majorHAnsi"/>
          <w:color w:val="FF0000"/>
          <w:sz w:val="24"/>
          <w:szCs w:val="24"/>
        </w:rPr>
      </w:pPr>
    </w:p>
    <w:p w14:paraId="2A6CEBA8" w14:textId="77777777" w:rsidR="00E257D7" w:rsidRPr="00802649" w:rsidRDefault="00E257D7" w:rsidP="002D58A7">
      <w:pPr>
        <w:pStyle w:val="ListParagraph"/>
        <w:ind w:left="765"/>
        <w:rPr>
          <w:rFonts w:asciiTheme="majorHAnsi" w:hAnsiTheme="majorHAnsi" w:cstheme="majorHAnsi"/>
          <w:color w:val="FF0000"/>
          <w:sz w:val="24"/>
          <w:szCs w:val="24"/>
        </w:rPr>
      </w:pPr>
    </w:p>
    <w:p w14:paraId="2F9962BA"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Explain why certain issues may be important</w:t>
      </w:r>
    </w:p>
    <w:p w14:paraId="2A6D331E" w14:textId="77777777" w:rsidR="00E257D7" w:rsidRPr="003120B8" w:rsidRDefault="00E257D7" w:rsidP="00E245B0">
      <w:pPr>
        <w:spacing w:after="0" w:line="240" w:lineRule="auto"/>
        <w:rPr>
          <w:rFonts w:asciiTheme="majorHAnsi" w:hAnsiTheme="majorHAnsi" w:cstheme="majorHAnsi"/>
          <w:b/>
          <w:i/>
          <w:vanish/>
          <w:color w:val="FF0000"/>
          <w:sz w:val="24"/>
          <w:szCs w:val="24"/>
        </w:rPr>
      </w:pPr>
    </w:p>
    <w:p w14:paraId="3A4ECC8E" w14:textId="77777777" w:rsidR="00E257D7" w:rsidRPr="003120B8" w:rsidRDefault="00E257D7" w:rsidP="00E245B0">
      <w:pPr>
        <w:spacing w:after="0" w:line="240" w:lineRule="auto"/>
        <w:rPr>
          <w:rFonts w:asciiTheme="majorHAnsi" w:hAnsiTheme="majorHAnsi" w:cstheme="majorHAnsi"/>
          <w:b/>
          <w:i/>
          <w:vanish/>
          <w:color w:val="FF0000"/>
          <w:sz w:val="24"/>
          <w:szCs w:val="24"/>
        </w:rPr>
      </w:pPr>
    </w:p>
    <w:p w14:paraId="7C0A4870" w14:textId="77777777" w:rsidR="00E257D7" w:rsidRPr="003120B8" w:rsidRDefault="00E257D7" w:rsidP="003120B8">
      <w:pPr>
        <w:pStyle w:val="ListParagraph"/>
        <w:numPr>
          <w:ilvl w:val="0"/>
          <w:numId w:val="72"/>
        </w:numPr>
        <w:rPr>
          <w:rFonts w:asciiTheme="majorHAnsi" w:hAnsiTheme="majorHAnsi" w:cstheme="majorHAnsi"/>
          <w:b/>
          <w:i/>
          <w:vanish/>
          <w:color w:val="FF0000"/>
          <w:sz w:val="24"/>
          <w:szCs w:val="24"/>
        </w:rPr>
      </w:pPr>
      <w:r w:rsidRPr="003120B8">
        <w:rPr>
          <w:rFonts w:asciiTheme="majorHAnsi" w:hAnsiTheme="majorHAnsi" w:cstheme="majorHAnsi"/>
          <w:b/>
          <w:i/>
          <w:vanish/>
          <w:color w:val="FF0000"/>
          <w:sz w:val="24"/>
          <w:szCs w:val="24"/>
        </w:rPr>
        <w:t>Direct them to sources of additional information</w:t>
      </w:r>
    </w:p>
    <w:p w14:paraId="267A7DC1" w14:textId="77777777" w:rsidR="00290E33" w:rsidRDefault="00290E33" w:rsidP="00290E33">
      <w:pPr>
        <w:pStyle w:val="ListParagraph"/>
        <w:rPr>
          <w:rFonts w:asciiTheme="majorHAnsi" w:hAnsiTheme="majorHAnsi" w:cstheme="majorHAnsi"/>
          <w:vanish/>
          <w:color w:val="FF0000"/>
          <w:sz w:val="24"/>
          <w:szCs w:val="24"/>
        </w:rPr>
      </w:pPr>
    </w:p>
    <w:p w14:paraId="10D25DB1" w14:textId="77777777" w:rsidR="00290E33" w:rsidRDefault="00290E33" w:rsidP="00290E33">
      <w:pPr>
        <w:pStyle w:val="ListParagraph"/>
        <w:rPr>
          <w:rFonts w:asciiTheme="majorHAnsi" w:hAnsiTheme="majorHAnsi" w:cstheme="majorHAnsi"/>
          <w:vanish/>
          <w:color w:val="FF0000"/>
          <w:sz w:val="24"/>
          <w:szCs w:val="24"/>
        </w:rPr>
      </w:pPr>
    </w:p>
    <w:p w14:paraId="10FA0E76" w14:textId="4E8E6CD9" w:rsidR="00E257D7" w:rsidRPr="00290E33" w:rsidRDefault="00290E33" w:rsidP="00290E33">
      <w:pPr>
        <w:pStyle w:val="ListParagraph"/>
        <w:ind w:left="90"/>
        <w:rPr>
          <w:rFonts w:asciiTheme="majorHAnsi" w:hAnsiTheme="majorHAnsi" w:cstheme="majorHAnsi"/>
          <w:vanish/>
          <w:color w:val="FF0000"/>
          <w:sz w:val="24"/>
          <w:szCs w:val="24"/>
        </w:rPr>
      </w:pPr>
      <w:r>
        <w:rPr>
          <w:rFonts w:asciiTheme="majorHAnsi" w:hAnsiTheme="majorHAnsi" w:cstheme="majorHAnsi"/>
          <w:vanish/>
          <w:color w:val="FF0000"/>
          <w:sz w:val="24"/>
          <w:szCs w:val="24"/>
        </w:rPr>
        <w:t xml:space="preserve">NOTE: </w:t>
      </w:r>
      <w:r w:rsidRPr="00290E33">
        <w:rPr>
          <w:rFonts w:asciiTheme="majorHAnsi" w:hAnsiTheme="majorHAnsi" w:cstheme="majorHAnsi"/>
          <w:vanish/>
          <w:color w:val="FF0000"/>
          <w:sz w:val="24"/>
          <w:szCs w:val="24"/>
        </w:rPr>
        <w:t xml:space="preserve">What is the due diligence of the </w:t>
      </w:r>
      <w:proofErr w:type="gramStart"/>
      <w:r w:rsidRPr="00290E33">
        <w:rPr>
          <w:rFonts w:asciiTheme="majorHAnsi" w:hAnsiTheme="majorHAnsi" w:cstheme="majorHAnsi"/>
          <w:vanish/>
          <w:color w:val="FF0000"/>
          <w:sz w:val="24"/>
          <w:szCs w:val="24"/>
        </w:rPr>
        <w:t>agent  (</w:t>
      </w:r>
      <w:proofErr w:type="gramEnd"/>
      <w:r w:rsidRPr="00290E33">
        <w:rPr>
          <w:rFonts w:asciiTheme="majorHAnsi" w:hAnsiTheme="majorHAnsi" w:cstheme="majorHAnsi"/>
          <w:vanish/>
          <w:color w:val="FF0000"/>
          <w:sz w:val="24"/>
          <w:szCs w:val="24"/>
        </w:rPr>
        <w:t>keep buyers on task)</w:t>
      </w:r>
    </w:p>
    <w:p w14:paraId="64098468" w14:textId="77777777" w:rsidR="00E257D7" w:rsidRPr="00802649" w:rsidRDefault="00E257D7" w:rsidP="00DF11EA">
      <w:pPr>
        <w:rPr>
          <w:rFonts w:asciiTheme="majorHAnsi" w:hAnsiTheme="majorHAnsi" w:cstheme="majorHAnsi"/>
          <w:b/>
          <w:color w:val="FF0000"/>
          <w:sz w:val="24"/>
          <w:szCs w:val="24"/>
        </w:rPr>
      </w:pPr>
    </w:p>
    <w:p w14:paraId="5C2964D1" w14:textId="77777777" w:rsidR="00E257D7" w:rsidRPr="00802649" w:rsidRDefault="00E257D7" w:rsidP="00DF11EA">
      <w:pPr>
        <w:rPr>
          <w:rFonts w:asciiTheme="majorHAnsi" w:hAnsiTheme="majorHAnsi" w:cstheme="majorHAnsi"/>
          <w:sz w:val="24"/>
          <w:szCs w:val="24"/>
        </w:rPr>
      </w:pPr>
    </w:p>
    <w:sectPr w:rsidR="00E257D7" w:rsidRPr="00802649" w:rsidSect="00DC083B">
      <w:footerReference w:type="default" r:id="rId12"/>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2B68" w14:textId="77777777" w:rsidR="001D1AF5" w:rsidRDefault="001D1AF5" w:rsidP="00DC083B">
      <w:pPr>
        <w:spacing w:after="0" w:line="240" w:lineRule="auto"/>
      </w:pPr>
      <w:r>
        <w:separator/>
      </w:r>
    </w:p>
  </w:endnote>
  <w:endnote w:type="continuationSeparator" w:id="0">
    <w:p w14:paraId="5BDC2742" w14:textId="77777777" w:rsidR="001D1AF5" w:rsidRDefault="001D1AF5" w:rsidP="00DC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9C57" w14:textId="77777777" w:rsidR="001D1AF5" w:rsidRDefault="001D1AF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44</w:t>
    </w:r>
    <w:r>
      <w:rPr>
        <w:caps/>
        <w:noProof/>
        <w:color w:val="4F81BD" w:themeColor="accent1"/>
      </w:rPr>
      <w:fldChar w:fldCharType="end"/>
    </w:r>
  </w:p>
  <w:p w14:paraId="5BFB7511" w14:textId="29795D98" w:rsidR="001D1AF5" w:rsidRDefault="00C11E18">
    <w:pPr>
      <w:pStyle w:val="Footer"/>
    </w:pPr>
    <w:r>
      <w:t>10</w:t>
    </w:r>
    <w:r w:rsidR="001D1AF5">
      <w:t>/202</w:t>
    </w:r>
    <w:r w:rsidR="00BF7F2C">
      <w:t>1 ZOOM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3938" w14:textId="77777777" w:rsidR="001D1AF5" w:rsidRDefault="001D1AF5" w:rsidP="00DC083B">
      <w:pPr>
        <w:spacing w:after="0" w:line="240" w:lineRule="auto"/>
      </w:pPr>
      <w:r>
        <w:separator/>
      </w:r>
    </w:p>
  </w:footnote>
  <w:footnote w:type="continuationSeparator" w:id="0">
    <w:p w14:paraId="654C28EB" w14:textId="77777777" w:rsidR="001D1AF5" w:rsidRDefault="001D1AF5" w:rsidP="00DC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9F7"/>
    <w:multiLevelType w:val="hybridMultilevel"/>
    <w:tmpl w:val="35D6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42DE"/>
    <w:multiLevelType w:val="hybridMultilevel"/>
    <w:tmpl w:val="3B52188C"/>
    <w:lvl w:ilvl="0" w:tplc="F3DAB7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6B4"/>
    <w:multiLevelType w:val="hybridMultilevel"/>
    <w:tmpl w:val="EAB8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02EC"/>
    <w:multiLevelType w:val="hybridMultilevel"/>
    <w:tmpl w:val="CA9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7CF0"/>
    <w:multiLevelType w:val="hybridMultilevel"/>
    <w:tmpl w:val="A312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20977"/>
    <w:multiLevelType w:val="hybridMultilevel"/>
    <w:tmpl w:val="FF84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36CB"/>
    <w:multiLevelType w:val="hybridMultilevel"/>
    <w:tmpl w:val="9776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112E6"/>
    <w:multiLevelType w:val="hybridMultilevel"/>
    <w:tmpl w:val="6EC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793"/>
    <w:multiLevelType w:val="hybridMultilevel"/>
    <w:tmpl w:val="5E36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87313"/>
    <w:multiLevelType w:val="hybridMultilevel"/>
    <w:tmpl w:val="C5CA7BCE"/>
    <w:lvl w:ilvl="0" w:tplc="2C5883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D966FBB"/>
    <w:multiLevelType w:val="hybridMultilevel"/>
    <w:tmpl w:val="5D8C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264F3"/>
    <w:multiLevelType w:val="hybridMultilevel"/>
    <w:tmpl w:val="67EC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559E"/>
    <w:multiLevelType w:val="hybridMultilevel"/>
    <w:tmpl w:val="C5F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103A86"/>
    <w:multiLevelType w:val="multilevel"/>
    <w:tmpl w:val="E6C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B339CC"/>
    <w:multiLevelType w:val="hybridMultilevel"/>
    <w:tmpl w:val="FFC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71AE5"/>
    <w:multiLevelType w:val="multilevel"/>
    <w:tmpl w:val="114C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9C4E8A"/>
    <w:multiLevelType w:val="hybridMultilevel"/>
    <w:tmpl w:val="98C2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C4192"/>
    <w:multiLevelType w:val="hybridMultilevel"/>
    <w:tmpl w:val="761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310B80"/>
    <w:multiLevelType w:val="hybridMultilevel"/>
    <w:tmpl w:val="D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396"/>
    <w:multiLevelType w:val="hybridMultilevel"/>
    <w:tmpl w:val="68BC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755CD"/>
    <w:multiLevelType w:val="hybridMultilevel"/>
    <w:tmpl w:val="45A2BC3E"/>
    <w:lvl w:ilvl="0" w:tplc="04090005">
      <w:start w:val="1"/>
      <w:numFmt w:val="bullet"/>
      <w:lvlText w:val=""/>
      <w:lvlJc w:val="left"/>
      <w:pPr>
        <w:ind w:left="1485" w:hanging="360"/>
      </w:pPr>
      <w:rPr>
        <w:rFonts w:ascii="Wingdings" w:hAnsi="Wingdings" w:hint="default"/>
        <w:color w:val="auto"/>
        <w:sz w:val="24"/>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21770326"/>
    <w:multiLevelType w:val="hybridMultilevel"/>
    <w:tmpl w:val="13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7A4F9B"/>
    <w:multiLevelType w:val="hybridMultilevel"/>
    <w:tmpl w:val="5536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94978"/>
    <w:multiLevelType w:val="hybridMultilevel"/>
    <w:tmpl w:val="7D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41ED5"/>
    <w:multiLevelType w:val="hybridMultilevel"/>
    <w:tmpl w:val="1FE6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800BC"/>
    <w:multiLevelType w:val="hybridMultilevel"/>
    <w:tmpl w:val="9D2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84E39"/>
    <w:multiLevelType w:val="hybridMultilevel"/>
    <w:tmpl w:val="2DD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85704B"/>
    <w:multiLevelType w:val="hybridMultilevel"/>
    <w:tmpl w:val="5D6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945559"/>
    <w:multiLevelType w:val="hybridMultilevel"/>
    <w:tmpl w:val="EF5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35BD8"/>
    <w:multiLevelType w:val="hybridMultilevel"/>
    <w:tmpl w:val="54D0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C2F96"/>
    <w:multiLevelType w:val="hybridMultilevel"/>
    <w:tmpl w:val="AF4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641F96"/>
    <w:multiLevelType w:val="hybridMultilevel"/>
    <w:tmpl w:val="096E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E4F2E"/>
    <w:multiLevelType w:val="hybridMultilevel"/>
    <w:tmpl w:val="DA48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82EAD"/>
    <w:multiLevelType w:val="hybridMultilevel"/>
    <w:tmpl w:val="A2FA042E"/>
    <w:lvl w:ilvl="0" w:tplc="A704F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EE0CC7"/>
    <w:multiLevelType w:val="hybridMultilevel"/>
    <w:tmpl w:val="B37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0A3FF2"/>
    <w:multiLevelType w:val="hybridMultilevel"/>
    <w:tmpl w:val="ACA83D96"/>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21A0D"/>
    <w:multiLevelType w:val="hybridMultilevel"/>
    <w:tmpl w:val="2EF0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C64820"/>
    <w:multiLevelType w:val="hybridMultilevel"/>
    <w:tmpl w:val="8D56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FE12D4"/>
    <w:multiLevelType w:val="hybridMultilevel"/>
    <w:tmpl w:val="A1A815BA"/>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45517F"/>
    <w:multiLevelType w:val="hybridMultilevel"/>
    <w:tmpl w:val="732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A6409"/>
    <w:multiLevelType w:val="hybridMultilevel"/>
    <w:tmpl w:val="F63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981CCC"/>
    <w:multiLevelType w:val="hybridMultilevel"/>
    <w:tmpl w:val="CF88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0524ED"/>
    <w:multiLevelType w:val="hybridMultilevel"/>
    <w:tmpl w:val="A16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742446"/>
    <w:multiLevelType w:val="hybridMultilevel"/>
    <w:tmpl w:val="7C4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9D6012"/>
    <w:multiLevelType w:val="hybridMultilevel"/>
    <w:tmpl w:val="BB0E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4865DC"/>
    <w:multiLevelType w:val="hybridMultilevel"/>
    <w:tmpl w:val="D31E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BF2FB3"/>
    <w:multiLevelType w:val="hybridMultilevel"/>
    <w:tmpl w:val="589E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4079F0"/>
    <w:multiLevelType w:val="hybridMultilevel"/>
    <w:tmpl w:val="95B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82A04"/>
    <w:multiLevelType w:val="hybridMultilevel"/>
    <w:tmpl w:val="2E34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52536"/>
    <w:multiLevelType w:val="hybridMultilevel"/>
    <w:tmpl w:val="7EE4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F6BE2"/>
    <w:multiLevelType w:val="hybridMultilevel"/>
    <w:tmpl w:val="3CD0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8A2F6F"/>
    <w:multiLevelType w:val="hybridMultilevel"/>
    <w:tmpl w:val="E426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203A66"/>
    <w:multiLevelType w:val="hybridMultilevel"/>
    <w:tmpl w:val="C788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440363"/>
    <w:multiLevelType w:val="hybridMultilevel"/>
    <w:tmpl w:val="2F1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1A34F7"/>
    <w:multiLevelType w:val="hybridMultilevel"/>
    <w:tmpl w:val="428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442DCB"/>
    <w:multiLevelType w:val="hybridMultilevel"/>
    <w:tmpl w:val="163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D60503"/>
    <w:multiLevelType w:val="hybridMultilevel"/>
    <w:tmpl w:val="219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C9705E"/>
    <w:multiLevelType w:val="hybridMultilevel"/>
    <w:tmpl w:val="72EC67EC"/>
    <w:lvl w:ilvl="0" w:tplc="3678051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E53BC7"/>
    <w:multiLevelType w:val="hybridMultilevel"/>
    <w:tmpl w:val="F01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0619B"/>
    <w:multiLevelType w:val="hybridMultilevel"/>
    <w:tmpl w:val="94A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0E7534"/>
    <w:multiLevelType w:val="hybridMultilevel"/>
    <w:tmpl w:val="5ABE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C2D7D"/>
    <w:multiLevelType w:val="hybridMultilevel"/>
    <w:tmpl w:val="841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65620B"/>
    <w:multiLevelType w:val="hybridMultilevel"/>
    <w:tmpl w:val="352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B9088D"/>
    <w:multiLevelType w:val="hybridMultilevel"/>
    <w:tmpl w:val="707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C301C8"/>
    <w:multiLevelType w:val="hybridMultilevel"/>
    <w:tmpl w:val="A2D4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E12BEF"/>
    <w:multiLevelType w:val="hybridMultilevel"/>
    <w:tmpl w:val="E05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7B32F1"/>
    <w:multiLevelType w:val="hybridMultilevel"/>
    <w:tmpl w:val="1BB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B37C20"/>
    <w:multiLevelType w:val="hybridMultilevel"/>
    <w:tmpl w:val="3A98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DE3FBA"/>
    <w:multiLevelType w:val="hybridMultilevel"/>
    <w:tmpl w:val="18A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8228CC"/>
    <w:multiLevelType w:val="hybridMultilevel"/>
    <w:tmpl w:val="85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F2582D"/>
    <w:multiLevelType w:val="hybridMultilevel"/>
    <w:tmpl w:val="E75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286228"/>
    <w:multiLevelType w:val="hybridMultilevel"/>
    <w:tmpl w:val="D0E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A3782F"/>
    <w:multiLevelType w:val="hybridMultilevel"/>
    <w:tmpl w:val="EE96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90666E"/>
    <w:multiLevelType w:val="hybridMultilevel"/>
    <w:tmpl w:val="9EB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047AB8"/>
    <w:multiLevelType w:val="hybridMultilevel"/>
    <w:tmpl w:val="8C6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DB669E"/>
    <w:multiLevelType w:val="hybridMultilevel"/>
    <w:tmpl w:val="1DE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995DBE"/>
    <w:multiLevelType w:val="hybridMultilevel"/>
    <w:tmpl w:val="0E1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359732">
    <w:abstractNumId w:val="8"/>
  </w:num>
  <w:num w:numId="2" w16cid:durableId="57672723">
    <w:abstractNumId w:val="9"/>
  </w:num>
  <w:num w:numId="3" w16cid:durableId="1827940493">
    <w:abstractNumId w:val="39"/>
  </w:num>
  <w:num w:numId="4" w16cid:durableId="1153833733">
    <w:abstractNumId w:val="59"/>
  </w:num>
  <w:num w:numId="5" w16cid:durableId="540167737">
    <w:abstractNumId w:val="45"/>
  </w:num>
  <w:num w:numId="6" w16cid:durableId="291716917">
    <w:abstractNumId w:val="23"/>
  </w:num>
  <w:num w:numId="7" w16cid:durableId="445466032">
    <w:abstractNumId w:val="17"/>
  </w:num>
  <w:num w:numId="8" w16cid:durableId="2125229808">
    <w:abstractNumId w:val="36"/>
  </w:num>
  <w:num w:numId="9" w16cid:durableId="1937708355">
    <w:abstractNumId w:val="32"/>
  </w:num>
  <w:num w:numId="10" w16cid:durableId="669915451">
    <w:abstractNumId w:val="56"/>
  </w:num>
  <w:num w:numId="11" w16cid:durableId="2029482334">
    <w:abstractNumId w:val="7"/>
  </w:num>
  <w:num w:numId="12" w16cid:durableId="766074249">
    <w:abstractNumId w:val="62"/>
  </w:num>
  <w:num w:numId="13" w16cid:durableId="868177329">
    <w:abstractNumId w:val="65"/>
  </w:num>
  <w:num w:numId="14" w16cid:durableId="1714578441">
    <w:abstractNumId w:val="57"/>
  </w:num>
  <w:num w:numId="15" w16cid:durableId="435829325">
    <w:abstractNumId w:val="38"/>
  </w:num>
  <w:num w:numId="16" w16cid:durableId="483812677">
    <w:abstractNumId w:val="52"/>
  </w:num>
  <w:num w:numId="17" w16cid:durableId="361908207">
    <w:abstractNumId w:val="35"/>
  </w:num>
  <w:num w:numId="18" w16cid:durableId="203369981">
    <w:abstractNumId w:val="55"/>
  </w:num>
  <w:num w:numId="19" w16cid:durableId="708341336">
    <w:abstractNumId w:val="20"/>
  </w:num>
  <w:num w:numId="20" w16cid:durableId="687950071">
    <w:abstractNumId w:val="19"/>
  </w:num>
  <w:num w:numId="21" w16cid:durableId="1975870309">
    <w:abstractNumId w:val="0"/>
  </w:num>
  <w:num w:numId="22" w16cid:durableId="1791432175">
    <w:abstractNumId w:val="60"/>
  </w:num>
  <w:num w:numId="23" w16cid:durableId="186719644">
    <w:abstractNumId w:val="48"/>
  </w:num>
  <w:num w:numId="24" w16cid:durableId="27604877">
    <w:abstractNumId w:val="50"/>
  </w:num>
  <w:num w:numId="25" w16cid:durableId="397947839">
    <w:abstractNumId w:val="4"/>
  </w:num>
  <w:num w:numId="26" w16cid:durableId="1015306711">
    <w:abstractNumId w:val="42"/>
  </w:num>
  <w:num w:numId="27" w16cid:durableId="343097636">
    <w:abstractNumId w:val="31"/>
  </w:num>
  <w:num w:numId="28" w16cid:durableId="1022051158">
    <w:abstractNumId w:val="5"/>
  </w:num>
  <w:num w:numId="29" w16cid:durableId="1106845218">
    <w:abstractNumId w:val="51"/>
  </w:num>
  <w:num w:numId="30" w16cid:durableId="822085572">
    <w:abstractNumId w:val="75"/>
  </w:num>
  <w:num w:numId="31" w16cid:durableId="586694295">
    <w:abstractNumId w:val="40"/>
  </w:num>
  <w:num w:numId="32" w16cid:durableId="322665790">
    <w:abstractNumId w:val="67"/>
  </w:num>
  <w:num w:numId="33" w16cid:durableId="1492600922">
    <w:abstractNumId w:val="58"/>
  </w:num>
  <w:num w:numId="34" w16cid:durableId="1344209922">
    <w:abstractNumId w:val="46"/>
  </w:num>
  <w:num w:numId="35" w16cid:durableId="1270822314">
    <w:abstractNumId w:val="18"/>
  </w:num>
  <w:num w:numId="36" w16cid:durableId="1686983691">
    <w:abstractNumId w:val="69"/>
  </w:num>
  <w:num w:numId="37" w16cid:durableId="628248570">
    <w:abstractNumId w:val="53"/>
  </w:num>
  <w:num w:numId="38" w16cid:durableId="1130897509">
    <w:abstractNumId w:val="44"/>
  </w:num>
  <w:num w:numId="39" w16cid:durableId="2135322852">
    <w:abstractNumId w:val="22"/>
  </w:num>
  <w:num w:numId="40" w16cid:durableId="408189416">
    <w:abstractNumId w:val="54"/>
  </w:num>
  <w:num w:numId="41" w16cid:durableId="934703160">
    <w:abstractNumId w:val="1"/>
  </w:num>
  <w:num w:numId="42" w16cid:durableId="1656493164">
    <w:abstractNumId w:val="28"/>
  </w:num>
  <w:num w:numId="43" w16cid:durableId="1100955850">
    <w:abstractNumId w:val="61"/>
  </w:num>
  <w:num w:numId="44" w16cid:durableId="2001275018">
    <w:abstractNumId w:val="66"/>
  </w:num>
  <w:num w:numId="45" w16cid:durableId="198445223">
    <w:abstractNumId w:val="30"/>
  </w:num>
  <w:num w:numId="46" w16cid:durableId="1287807140">
    <w:abstractNumId w:val="21"/>
  </w:num>
  <w:num w:numId="47" w16cid:durableId="884173668">
    <w:abstractNumId w:val="24"/>
  </w:num>
  <w:num w:numId="48" w16cid:durableId="1826705324">
    <w:abstractNumId w:val="49"/>
  </w:num>
  <w:num w:numId="49" w16cid:durableId="2100516906">
    <w:abstractNumId w:val="41"/>
  </w:num>
  <w:num w:numId="50" w16cid:durableId="55671587">
    <w:abstractNumId w:val="29"/>
  </w:num>
  <w:num w:numId="51" w16cid:durableId="1695958055">
    <w:abstractNumId w:val="16"/>
  </w:num>
  <w:num w:numId="52" w16cid:durableId="702831529">
    <w:abstractNumId w:val="74"/>
  </w:num>
  <w:num w:numId="53" w16cid:durableId="60443056">
    <w:abstractNumId w:val="27"/>
  </w:num>
  <w:num w:numId="54" w16cid:durableId="2009937015">
    <w:abstractNumId w:val="34"/>
  </w:num>
  <w:num w:numId="55" w16cid:durableId="2131778900">
    <w:abstractNumId w:val="72"/>
  </w:num>
  <w:num w:numId="56" w16cid:durableId="2096825472">
    <w:abstractNumId w:val="14"/>
  </w:num>
  <w:num w:numId="57" w16cid:durableId="1386877292">
    <w:abstractNumId w:val="71"/>
  </w:num>
  <w:num w:numId="58" w16cid:durableId="309752969">
    <w:abstractNumId w:val="12"/>
  </w:num>
  <w:num w:numId="59" w16cid:durableId="1946648262">
    <w:abstractNumId w:val="6"/>
  </w:num>
  <w:num w:numId="60" w16cid:durableId="1112440274">
    <w:abstractNumId w:val="70"/>
  </w:num>
  <w:num w:numId="61" w16cid:durableId="184172311">
    <w:abstractNumId w:val="2"/>
  </w:num>
  <w:num w:numId="62" w16cid:durableId="1555198023">
    <w:abstractNumId w:val="63"/>
  </w:num>
  <w:num w:numId="63" w16cid:durableId="1191335175">
    <w:abstractNumId w:val="33"/>
  </w:num>
  <w:num w:numId="64" w16cid:durableId="1204974797">
    <w:abstractNumId w:val="68"/>
  </w:num>
  <w:num w:numId="65" w16cid:durableId="1053966165">
    <w:abstractNumId w:val="47"/>
  </w:num>
  <w:num w:numId="66" w16cid:durableId="1251161133">
    <w:abstractNumId w:val="26"/>
  </w:num>
  <w:num w:numId="67" w16cid:durableId="1847018966">
    <w:abstractNumId w:val="73"/>
  </w:num>
  <w:num w:numId="68" w16cid:durableId="1468476767">
    <w:abstractNumId w:val="76"/>
  </w:num>
  <w:num w:numId="69" w16cid:durableId="120543010">
    <w:abstractNumId w:val="37"/>
  </w:num>
  <w:num w:numId="70" w16cid:durableId="1193223656">
    <w:abstractNumId w:val="3"/>
  </w:num>
  <w:num w:numId="71" w16cid:durableId="1118378014">
    <w:abstractNumId w:val="64"/>
  </w:num>
  <w:num w:numId="72" w16cid:durableId="387152400">
    <w:abstractNumId w:val="11"/>
  </w:num>
  <w:num w:numId="73" w16cid:durableId="215245668">
    <w:abstractNumId w:val="25"/>
  </w:num>
  <w:num w:numId="74" w16cid:durableId="1002199212">
    <w:abstractNumId w:val="43"/>
  </w:num>
  <w:num w:numId="75" w16cid:durableId="1695111376">
    <w:abstractNumId w:val="10"/>
  </w:num>
  <w:num w:numId="76" w16cid:durableId="1202287518">
    <w:abstractNumId w:val="15"/>
  </w:num>
  <w:num w:numId="77" w16cid:durableId="852500416">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58"/>
    <w:rsid w:val="00002D01"/>
    <w:rsid w:val="00021EC2"/>
    <w:rsid w:val="00030D52"/>
    <w:rsid w:val="00082944"/>
    <w:rsid w:val="000A41C5"/>
    <w:rsid w:val="000D0394"/>
    <w:rsid w:val="000D5F3A"/>
    <w:rsid w:val="000E06B0"/>
    <w:rsid w:val="000E4D2F"/>
    <w:rsid w:val="00104E2E"/>
    <w:rsid w:val="001233C5"/>
    <w:rsid w:val="00125AD8"/>
    <w:rsid w:val="00136753"/>
    <w:rsid w:val="00150032"/>
    <w:rsid w:val="0016453F"/>
    <w:rsid w:val="00176A42"/>
    <w:rsid w:val="00186DA5"/>
    <w:rsid w:val="001C46F4"/>
    <w:rsid w:val="001D1AF5"/>
    <w:rsid w:val="00201477"/>
    <w:rsid w:val="002048ED"/>
    <w:rsid w:val="00211080"/>
    <w:rsid w:val="00214CCF"/>
    <w:rsid w:val="00216915"/>
    <w:rsid w:val="00223CA5"/>
    <w:rsid w:val="00242BD4"/>
    <w:rsid w:val="00261A0D"/>
    <w:rsid w:val="00264239"/>
    <w:rsid w:val="0026778E"/>
    <w:rsid w:val="00272E11"/>
    <w:rsid w:val="0027447D"/>
    <w:rsid w:val="00277FEA"/>
    <w:rsid w:val="00290E33"/>
    <w:rsid w:val="002916BD"/>
    <w:rsid w:val="0029540A"/>
    <w:rsid w:val="002A2035"/>
    <w:rsid w:val="002A3508"/>
    <w:rsid w:val="002B20FD"/>
    <w:rsid w:val="002D56C9"/>
    <w:rsid w:val="002D58A7"/>
    <w:rsid w:val="002E01B0"/>
    <w:rsid w:val="002F05AF"/>
    <w:rsid w:val="00303071"/>
    <w:rsid w:val="003120B8"/>
    <w:rsid w:val="00327599"/>
    <w:rsid w:val="00327CD7"/>
    <w:rsid w:val="00333C27"/>
    <w:rsid w:val="00335C4E"/>
    <w:rsid w:val="003464E2"/>
    <w:rsid w:val="00347DE1"/>
    <w:rsid w:val="00360190"/>
    <w:rsid w:val="00361F19"/>
    <w:rsid w:val="00362BA5"/>
    <w:rsid w:val="00366B7F"/>
    <w:rsid w:val="00371DC2"/>
    <w:rsid w:val="00387A52"/>
    <w:rsid w:val="00391CC1"/>
    <w:rsid w:val="0039276B"/>
    <w:rsid w:val="003A2773"/>
    <w:rsid w:val="003B75B2"/>
    <w:rsid w:val="003C04A0"/>
    <w:rsid w:val="003E3B17"/>
    <w:rsid w:val="003F1E1E"/>
    <w:rsid w:val="003F59D4"/>
    <w:rsid w:val="003F5FD3"/>
    <w:rsid w:val="00404060"/>
    <w:rsid w:val="00415EE7"/>
    <w:rsid w:val="004467E7"/>
    <w:rsid w:val="004619DA"/>
    <w:rsid w:val="00466E4D"/>
    <w:rsid w:val="00470480"/>
    <w:rsid w:val="004723F7"/>
    <w:rsid w:val="004831F2"/>
    <w:rsid w:val="004B1629"/>
    <w:rsid w:val="004C28FB"/>
    <w:rsid w:val="004C3511"/>
    <w:rsid w:val="004D19B3"/>
    <w:rsid w:val="004D5DEE"/>
    <w:rsid w:val="004E2659"/>
    <w:rsid w:val="004F7B0E"/>
    <w:rsid w:val="00500D58"/>
    <w:rsid w:val="005337E5"/>
    <w:rsid w:val="005433A6"/>
    <w:rsid w:val="00544A88"/>
    <w:rsid w:val="00555269"/>
    <w:rsid w:val="00561F00"/>
    <w:rsid w:val="005663B4"/>
    <w:rsid w:val="00584C49"/>
    <w:rsid w:val="00590556"/>
    <w:rsid w:val="005A01D2"/>
    <w:rsid w:val="005B1D61"/>
    <w:rsid w:val="005B3B15"/>
    <w:rsid w:val="005C6A04"/>
    <w:rsid w:val="005E437E"/>
    <w:rsid w:val="005E757B"/>
    <w:rsid w:val="005E761A"/>
    <w:rsid w:val="005E7B3F"/>
    <w:rsid w:val="00602158"/>
    <w:rsid w:val="00602643"/>
    <w:rsid w:val="006034C1"/>
    <w:rsid w:val="00620CE9"/>
    <w:rsid w:val="006261DC"/>
    <w:rsid w:val="00634218"/>
    <w:rsid w:val="00635DE7"/>
    <w:rsid w:val="00640C1D"/>
    <w:rsid w:val="00665460"/>
    <w:rsid w:val="006666BA"/>
    <w:rsid w:val="00677088"/>
    <w:rsid w:val="00696E22"/>
    <w:rsid w:val="006B1180"/>
    <w:rsid w:val="006C5DE3"/>
    <w:rsid w:val="006E1195"/>
    <w:rsid w:val="006E1AF0"/>
    <w:rsid w:val="006E42A0"/>
    <w:rsid w:val="006F52E7"/>
    <w:rsid w:val="006F7826"/>
    <w:rsid w:val="00716880"/>
    <w:rsid w:val="007327CC"/>
    <w:rsid w:val="007502F4"/>
    <w:rsid w:val="007531D6"/>
    <w:rsid w:val="00785B3D"/>
    <w:rsid w:val="007A0C10"/>
    <w:rsid w:val="007A2395"/>
    <w:rsid w:val="007B3864"/>
    <w:rsid w:val="007B69CC"/>
    <w:rsid w:val="007C6A64"/>
    <w:rsid w:val="007E7337"/>
    <w:rsid w:val="00800523"/>
    <w:rsid w:val="00802649"/>
    <w:rsid w:val="00803921"/>
    <w:rsid w:val="00813790"/>
    <w:rsid w:val="00820BA5"/>
    <w:rsid w:val="00823BC9"/>
    <w:rsid w:val="0085498B"/>
    <w:rsid w:val="00861F59"/>
    <w:rsid w:val="00862BA2"/>
    <w:rsid w:val="008722E5"/>
    <w:rsid w:val="008F0E65"/>
    <w:rsid w:val="00923BE1"/>
    <w:rsid w:val="00931BD8"/>
    <w:rsid w:val="009356BA"/>
    <w:rsid w:val="00937AFD"/>
    <w:rsid w:val="00942441"/>
    <w:rsid w:val="00945511"/>
    <w:rsid w:val="0095252B"/>
    <w:rsid w:val="00972C70"/>
    <w:rsid w:val="00975651"/>
    <w:rsid w:val="00995541"/>
    <w:rsid w:val="00996A67"/>
    <w:rsid w:val="009A081F"/>
    <w:rsid w:val="009C62E4"/>
    <w:rsid w:val="009C6810"/>
    <w:rsid w:val="00A00271"/>
    <w:rsid w:val="00A17B15"/>
    <w:rsid w:val="00A2513B"/>
    <w:rsid w:val="00A27310"/>
    <w:rsid w:val="00A31749"/>
    <w:rsid w:val="00A425D9"/>
    <w:rsid w:val="00A4347F"/>
    <w:rsid w:val="00A94476"/>
    <w:rsid w:val="00A975C5"/>
    <w:rsid w:val="00AB36E0"/>
    <w:rsid w:val="00AD1E6D"/>
    <w:rsid w:val="00B25058"/>
    <w:rsid w:val="00B36E6F"/>
    <w:rsid w:val="00B55FF8"/>
    <w:rsid w:val="00B650E7"/>
    <w:rsid w:val="00B75C91"/>
    <w:rsid w:val="00B8689D"/>
    <w:rsid w:val="00B86E81"/>
    <w:rsid w:val="00B941D0"/>
    <w:rsid w:val="00BD6C9A"/>
    <w:rsid w:val="00BE1068"/>
    <w:rsid w:val="00BF1A26"/>
    <w:rsid w:val="00BF7F2C"/>
    <w:rsid w:val="00C05663"/>
    <w:rsid w:val="00C06F52"/>
    <w:rsid w:val="00C11E18"/>
    <w:rsid w:val="00C16502"/>
    <w:rsid w:val="00C43F23"/>
    <w:rsid w:val="00C55E6F"/>
    <w:rsid w:val="00C654D9"/>
    <w:rsid w:val="00C74829"/>
    <w:rsid w:val="00C829F4"/>
    <w:rsid w:val="00CA46C4"/>
    <w:rsid w:val="00CA59D5"/>
    <w:rsid w:val="00CC6FC2"/>
    <w:rsid w:val="00CD1D3C"/>
    <w:rsid w:val="00CD4001"/>
    <w:rsid w:val="00CD45E1"/>
    <w:rsid w:val="00CD4E57"/>
    <w:rsid w:val="00CE795C"/>
    <w:rsid w:val="00CF2FDB"/>
    <w:rsid w:val="00CF546B"/>
    <w:rsid w:val="00CF6E6E"/>
    <w:rsid w:val="00CF7C1F"/>
    <w:rsid w:val="00D05E35"/>
    <w:rsid w:val="00D0778A"/>
    <w:rsid w:val="00D13C04"/>
    <w:rsid w:val="00D13E77"/>
    <w:rsid w:val="00D1444F"/>
    <w:rsid w:val="00D205A9"/>
    <w:rsid w:val="00D221BC"/>
    <w:rsid w:val="00D33FCA"/>
    <w:rsid w:val="00D41486"/>
    <w:rsid w:val="00D62CD2"/>
    <w:rsid w:val="00D71EE4"/>
    <w:rsid w:val="00D730FD"/>
    <w:rsid w:val="00D84DFD"/>
    <w:rsid w:val="00DC009E"/>
    <w:rsid w:val="00DC083B"/>
    <w:rsid w:val="00DC5382"/>
    <w:rsid w:val="00DD0BBB"/>
    <w:rsid w:val="00DD79B5"/>
    <w:rsid w:val="00DF11EA"/>
    <w:rsid w:val="00DF3317"/>
    <w:rsid w:val="00E1223E"/>
    <w:rsid w:val="00E14DF5"/>
    <w:rsid w:val="00E245B0"/>
    <w:rsid w:val="00E248E3"/>
    <w:rsid w:val="00E257D7"/>
    <w:rsid w:val="00E8190B"/>
    <w:rsid w:val="00E8201A"/>
    <w:rsid w:val="00E92682"/>
    <w:rsid w:val="00E95E86"/>
    <w:rsid w:val="00E9684D"/>
    <w:rsid w:val="00EB09E2"/>
    <w:rsid w:val="00ED14AC"/>
    <w:rsid w:val="00EF2313"/>
    <w:rsid w:val="00F02E9B"/>
    <w:rsid w:val="00F15D4B"/>
    <w:rsid w:val="00F27259"/>
    <w:rsid w:val="00F43461"/>
    <w:rsid w:val="00F61774"/>
    <w:rsid w:val="00F72779"/>
    <w:rsid w:val="00F74FF8"/>
    <w:rsid w:val="00F83553"/>
    <w:rsid w:val="00F90A02"/>
    <w:rsid w:val="00FB2746"/>
    <w:rsid w:val="00FC71B5"/>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4817"/>
    <o:shapelayout v:ext="edit">
      <o:idmap v:ext="edit" data="1"/>
    </o:shapelayout>
  </w:shapeDefaults>
  <w:decimalSymbol w:val="."/>
  <w:listSeparator w:val=","/>
  <w14:docId w14:val="298326E2"/>
  <w15:docId w15:val="{91776916-4A63-499F-B48D-2903174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B0"/>
    <w:pPr>
      <w:spacing w:after="200" w:line="276" w:lineRule="auto"/>
    </w:pPr>
  </w:style>
  <w:style w:type="paragraph" w:styleId="Heading1">
    <w:name w:val="heading 1"/>
    <w:basedOn w:val="Normal"/>
    <w:next w:val="Normal"/>
    <w:link w:val="Heading1Char"/>
    <w:uiPriority w:val="99"/>
    <w:qFormat/>
    <w:rsid w:val="00D33FC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4148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semiHidden/>
    <w:unhideWhenUsed/>
    <w:qFormat/>
    <w:locked/>
    <w:rsid w:val="00B941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F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41486"/>
    <w:rPr>
      <w:rFonts w:ascii="Cambria" w:hAnsi="Cambria" w:cs="Times New Roman"/>
      <w:b/>
      <w:bCs/>
      <w:color w:val="4F81BD"/>
      <w:sz w:val="26"/>
      <w:szCs w:val="26"/>
    </w:rPr>
  </w:style>
  <w:style w:type="paragraph" w:styleId="ListParagraph">
    <w:name w:val="List Paragraph"/>
    <w:basedOn w:val="Normal"/>
    <w:uiPriority w:val="99"/>
    <w:qFormat/>
    <w:rsid w:val="00D33FCA"/>
    <w:pPr>
      <w:ind w:left="720"/>
      <w:contextualSpacing/>
    </w:pPr>
  </w:style>
  <w:style w:type="paragraph" w:styleId="BalloonText">
    <w:name w:val="Balloon Text"/>
    <w:basedOn w:val="Normal"/>
    <w:link w:val="BalloonTextChar"/>
    <w:uiPriority w:val="99"/>
    <w:semiHidden/>
    <w:rsid w:val="00030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0D52"/>
    <w:rPr>
      <w:rFonts w:ascii="Tahoma" w:hAnsi="Tahoma" w:cs="Tahoma"/>
      <w:sz w:val="16"/>
      <w:szCs w:val="16"/>
    </w:rPr>
  </w:style>
  <w:style w:type="table" w:styleId="TableGrid">
    <w:name w:val="Table Grid"/>
    <w:basedOn w:val="TableNormal"/>
    <w:uiPriority w:val="99"/>
    <w:rsid w:val="004723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99"/>
    <w:qFormat/>
    <w:rsid w:val="007327CC"/>
    <w:pPr>
      <w:outlineLvl w:val="9"/>
    </w:pPr>
  </w:style>
  <w:style w:type="paragraph" w:styleId="TOC1">
    <w:name w:val="toc 1"/>
    <w:basedOn w:val="Normal"/>
    <w:next w:val="Normal"/>
    <w:autoRedefine/>
    <w:uiPriority w:val="39"/>
    <w:rsid w:val="007327CC"/>
    <w:pPr>
      <w:spacing w:after="100"/>
    </w:pPr>
  </w:style>
  <w:style w:type="paragraph" w:styleId="TOC2">
    <w:name w:val="toc 2"/>
    <w:basedOn w:val="Normal"/>
    <w:next w:val="Normal"/>
    <w:autoRedefine/>
    <w:uiPriority w:val="39"/>
    <w:rsid w:val="007327CC"/>
    <w:pPr>
      <w:spacing w:after="100"/>
      <w:ind w:left="220"/>
    </w:pPr>
  </w:style>
  <w:style w:type="character" w:styleId="Hyperlink">
    <w:name w:val="Hyperlink"/>
    <w:basedOn w:val="DefaultParagraphFont"/>
    <w:uiPriority w:val="99"/>
    <w:rsid w:val="007327CC"/>
    <w:rPr>
      <w:rFonts w:cs="Times New Roman"/>
      <w:color w:val="0000FF"/>
      <w:u w:val="single"/>
    </w:rPr>
  </w:style>
  <w:style w:type="paragraph" w:styleId="Header">
    <w:name w:val="header"/>
    <w:basedOn w:val="Normal"/>
    <w:link w:val="HeaderChar"/>
    <w:uiPriority w:val="99"/>
    <w:semiHidden/>
    <w:rsid w:val="00DC0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083B"/>
    <w:rPr>
      <w:rFonts w:cs="Times New Roman"/>
    </w:rPr>
  </w:style>
  <w:style w:type="paragraph" w:styleId="Footer">
    <w:name w:val="footer"/>
    <w:basedOn w:val="Normal"/>
    <w:link w:val="FooterChar"/>
    <w:uiPriority w:val="99"/>
    <w:rsid w:val="00DC08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083B"/>
    <w:rPr>
      <w:rFonts w:cs="Times New Roman"/>
    </w:rPr>
  </w:style>
  <w:style w:type="character" w:styleId="Strong">
    <w:name w:val="Strong"/>
    <w:basedOn w:val="DefaultParagraphFont"/>
    <w:uiPriority w:val="22"/>
    <w:qFormat/>
    <w:locked/>
    <w:rsid w:val="00466E4D"/>
    <w:rPr>
      <w:b/>
      <w:bCs/>
    </w:rPr>
  </w:style>
  <w:style w:type="character" w:customStyle="1" w:styleId="Heading3Char">
    <w:name w:val="Heading 3 Char"/>
    <w:basedOn w:val="DefaultParagraphFont"/>
    <w:link w:val="Heading3"/>
    <w:semiHidden/>
    <w:rsid w:val="00B941D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941D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444">
      <w:bodyDiv w:val="1"/>
      <w:marLeft w:val="0"/>
      <w:marRight w:val="0"/>
      <w:marTop w:val="0"/>
      <w:marBottom w:val="0"/>
      <w:divBdr>
        <w:top w:val="none" w:sz="0" w:space="0" w:color="auto"/>
        <w:left w:val="none" w:sz="0" w:space="0" w:color="auto"/>
        <w:bottom w:val="none" w:sz="0" w:space="0" w:color="auto"/>
        <w:right w:val="none" w:sz="0" w:space="0" w:color="auto"/>
      </w:divBdr>
    </w:div>
    <w:div w:id="393166823">
      <w:bodyDiv w:val="1"/>
      <w:marLeft w:val="0"/>
      <w:marRight w:val="0"/>
      <w:marTop w:val="0"/>
      <w:marBottom w:val="0"/>
      <w:divBdr>
        <w:top w:val="none" w:sz="0" w:space="0" w:color="auto"/>
        <w:left w:val="none" w:sz="0" w:space="0" w:color="auto"/>
        <w:bottom w:val="none" w:sz="0" w:space="0" w:color="auto"/>
        <w:right w:val="none" w:sz="0" w:space="0" w:color="auto"/>
      </w:divBdr>
    </w:div>
    <w:div w:id="394202541">
      <w:marLeft w:val="0"/>
      <w:marRight w:val="0"/>
      <w:marTop w:val="0"/>
      <w:marBottom w:val="0"/>
      <w:divBdr>
        <w:top w:val="none" w:sz="0" w:space="0" w:color="auto"/>
        <w:left w:val="none" w:sz="0" w:space="0" w:color="auto"/>
        <w:bottom w:val="none" w:sz="0" w:space="0" w:color="auto"/>
        <w:right w:val="none" w:sz="0" w:space="0" w:color="auto"/>
      </w:divBdr>
    </w:div>
    <w:div w:id="534973063">
      <w:bodyDiv w:val="1"/>
      <w:marLeft w:val="0"/>
      <w:marRight w:val="0"/>
      <w:marTop w:val="0"/>
      <w:marBottom w:val="0"/>
      <w:divBdr>
        <w:top w:val="none" w:sz="0" w:space="0" w:color="auto"/>
        <w:left w:val="none" w:sz="0" w:space="0" w:color="auto"/>
        <w:bottom w:val="none" w:sz="0" w:space="0" w:color="auto"/>
        <w:right w:val="none" w:sz="0" w:space="0" w:color="auto"/>
      </w:divBdr>
    </w:div>
    <w:div w:id="636883455">
      <w:bodyDiv w:val="1"/>
      <w:marLeft w:val="0"/>
      <w:marRight w:val="0"/>
      <w:marTop w:val="0"/>
      <w:marBottom w:val="0"/>
      <w:divBdr>
        <w:top w:val="none" w:sz="0" w:space="0" w:color="auto"/>
        <w:left w:val="none" w:sz="0" w:space="0" w:color="auto"/>
        <w:bottom w:val="none" w:sz="0" w:space="0" w:color="auto"/>
        <w:right w:val="none" w:sz="0" w:space="0" w:color="auto"/>
      </w:divBdr>
    </w:div>
    <w:div w:id="788621450">
      <w:bodyDiv w:val="1"/>
      <w:marLeft w:val="0"/>
      <w:marRight w:val="0"/>
      <w:marTop w:val="0"/>
      <w:marBottom w:val="0"/>
      <w:divBdr>
        <w:top w:val="none" w:sz="0" w:space="0" w:color="auto"/>
        <w:left w:val="none" w:sz="0" w:space="0" w:color="auto"/>
        <w:bottom w:val="none" w:sz="0" w:space="0" w:color="auto"/>
        <w:right w:val="none" w:sz="0" w:space="0" w:color="auto"/>
      </w:divBdr>
    </w:div>
    <w:div w:id="1492716363">
      <w:bodyDiv w:val="1"/>
      <w:marLeft w:val="0"/>
      <w:marRight w:val="0"/>
      <w:marTop w:val="0"/>
      <w:marBottom w:val="0"/>
      <w:divBdr>
        <w:top w:val="none" w:sz="0" w:space="0" w:color="auto"/>
        <w:left w:val="none" w:sz="0" w:space="0" w:color="auto"/>
        <w:bottom w:val="none" w:sz="0" w:space="0" w:color="auto"/>
        <w:right w:val="none" w:sz="0" w:space="0" w:color="auto"/>
      </w:divBdr>
    </w:div>
    <w:div w:id="2028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ervices.azre.gov/publicdatabase/SearchDevelopment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9A7EB7A-8C1D-4390-B68A-51218C08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8431</Words>
  <Characters>51369</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Disclosure &amp; Due Diligence</vt:lpstr>
    </vt:vector>
  </TitlesOfParts>
  <Company>Arizona Association of REALTORS®</Company>
  <LinksUpToDate>false</LinksUpToDate>
  <CharactersWithSpaces>59681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Due Diligence</dc:title>
  <dc:subject>Risk Management Certification Core Course</dc:subject>
  <dc:creator>Instructor Manual</dc:creator>
  <cp:lastModifiedBy>Kimberly Franzen</cp:lastModifiedBy>
  <cp:revision>3</cp:revision>
  <cp:lastPrinted>2021-02-26T21:57:00Z</cp:lastPrinted>
  <dcterms:created xsi:type="dcterms:W3CDTF">2021-10-20T21:39:00Z</dcterms:created>
  <dcterms:modified xsi:type="dcterms:W3CDTF">2023-01-23T15:43:00Z</dcterms:modified>
</cp:coreProperties>
</file>