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D1444F">
      <w:pPr>
        <w:spacing w:after="0"/>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Arizona Association of REALTORS</w:t>
      </w:r>
      <w:r w:rsidRPr="00802649">
        <w:rPr>
          <w:rFonts w:asciiTheme="majorHAnsi" w:hAnsiTheme="majorHAnsi" w:cstheme="majorHAnsi"/>
          <w:b/>
          <w:bCs/>
          <w:color w:val="808080"/>
          <w:sz w:val="32"/>
          <w:szCs w:val="32"/>
          <w:vertAlign w:val="superscript"/>
        </w:rPr>
        <w:t>®</w:t>
      </w:r>
    </w:p>
    <w:p w:rsidR="00E257D7" w:rsidRPr="00802649" w:rsidRDefault="00E257D7" w:rsidP="00D1444F">
      <w:pPr>
        <w:spacing w:after="0"/>
        <w:rPr>
          <w:rFonts w:asciiTheme="majorHAnsi" w:hAnsiTheme="majorHAnsi" w:cstheme="majorHAnsi"/>
          <w:b/>
          <w:bCs/>
          <w:sz w:val="68"/>
          <w:szCs w:val="68"/>
        </w:rPr>
      </w:pPr>
    </w:p>
    <w:p w:rsidR="00590556" w:rsidRPr="00802649" w:rsidRDefault="00277FEA" w:rsidP="00D1444F">
      <w:pPr>
        <w:spacing w:after="0"/>
        <w:rPr>
          <w:rFonts w:asciiTheme="majorHAnsi" w:hAnsiTheme="majorHAnsi" w:cstheme="majorHAnsi"/>
          <w:b/>
          <w:bCs/>
          <w:sz w:val="68"/>
          <w:szCs w:val="68"/>
        </w:rPr>
      </w:pPr>
      <w:r w:rsidRPr="00802649">
        <w:rPr>
          <w:rFonts w:asciiTheme="majorHAnsi" w:hAnsiTheme="majorHAnsi" w:cstheme="majorHAnsi"/>
          <w:b/>
          <w:bCs/>
          <w:noProof/>
          <w:sz w:val="68"/>
          <w:szCs w:val="68"/>
        </w:rPr>
        <w:drawing>
          <wp:inline distT="0" distB="0" distL="0" distR="0">
            <wp:extent cx="4311015" cy="2849880"/>
            <wp:effectExtent l="19050" t="0" r="0" b="7620"/>
            <wp:docPr id="5" name="Picture 5" descr="rC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RMS_logo"/>
                    <pic:cNvPicPr>
                      <a:picLocks noChangeAspect="1" noChangeArrowheads="1"/>
                    </pic:cNvPicPr>
                  </pic:nvPicPr>
                  <pic:blipFill>
                    <a:blip r:embed="rId7"/>
                    <a:srcRect/>
                    <a:stretch>
                      <a:fillRect/>
                    </a:stretch>
                  </pic:blipFill>
                  <pic:spPr bwMode="auto">
                    <a:xfrm>
                      <a:off x="0" y="0"/>
                      <a:ext cx="4311015" cy="2849880"/>
                    </a:xfrm>
                    <a:prstGeom prst="rect">
                      <a:avLst/>
                    </a:prstGeom>
                    <a:noFill/>
                    <a:ln w="9525">
                      <a:noFill/>
                      <a:miter lim="800000"/>
                      <a:headEnd/>
                      <a:tailEnd/>
                    </a:ln>
                  </pic:spPr>
                </pic:pic>
              </a:graphicData>
            </a:graphic>
          </wp:inline>
        </w:drawing>
      </w:r>
    </w:p>
    <w:p w:rsidR="00E257D7" w:rsidRPr="00802649" w:rsidRDefault="00E257D7" w:rsidP="00D1444F">
      <w:pPr>
        <w:spacing w:after="0"/>
        <w:rPr>
          <w:rFonts w:asciiTheme="majorHAnsi" w:hAnsiTheme="majorHAnsi" w:cstheme="majorHAnsi"/>
          <w:b/>
          <w:bCs/>
          <w:sz w:val="68"/>
          <w:szCs w:val="68"/>
        </w:rPr>
      </w:pPr>
      <w:r w:rsidRPr="00802649">
        <w:rPr>
          <w:rFonts w:asciiTheme="majorHAnsi" w:hAnsiTheme="majorHAnsi" w:cstheme="majorHAnsi"/>
          <w:b/>
          <w:bCs/>
          <w:sz w:val="68"/>
          <w:szCs w:val="68"/>
        </w:rPr>
        <w:t>Disclosure &amp; Due Diligence</w:t>
      </w:r>
    </w:p>
    <w:p w:rsidR="00E257D7" w:rsidRPr="00802649" w:rsidRDefault="00E257D7" w:rsidP="00D1444F">
      <w:pPr>
        <w:rPr>
          <w:rFonts w:asciiTheme="majorHAnsi" w:hAnsiTheme="majorHAnsi" w:cstheme="majorHAnsi"/>
          <w:b/>
          <w:bCs/>
          <w:sz w:val="40"/>
          <w:szCs w:val="40"/>
        </w:rPr>
      </w:pPr>
      <w:r w:rsidRPr="00802649">
        <w:rPr>
          <w:rFonts w:asciiTheme="majorHAnsi" w:hAnsiTheme="majorHAnsi" w:cstheme="majorHAnsi"/>
          <w:b/>
          <w:bCs/>
          <w:sz w:val="40"/>
          <w:szCs w:val="40"/>
        </w:rPr>
        <w:t>Risk Management Certification Core Course</w:t>
      </w:r>
    </w:p>
    <w:p w:rsidR="00E257D7" w:rsidRPr="00802649" w:rsidRDefault="00E257D7" w:rsidP="00D1444F">
      <w:pPr>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Instructor Manual</w:t>
      </w: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pPr>
        <w:pStyle w:val="TOCHeading"/>
        <w:rPr>
          <w:rFonts w:asciiTheme="majorHAnsi" w:hAnsiTheme="majorHAnsi" w:cstheme="majorHAnsi"/>
          <w:color w:val="auto"/>
        </w:rPr>
      </w:pPr>
      <w:r w:rsidRPr="00802649">
        <w:rPr>
          <w:rFonts w:asciiTheme="majorHAnsi" w:hAnsiTheme="majorHAnsi" w:cstheme="majorHAnsi"/>
          <w:color w:val="auto"/>
        </w:rPr>
        <w:lastRenderedPageBreak/>
        <w:t>Table of Contents</w:t>
      </w:r>
    </w:p>
    <w:p w:rsidR="00E257D7" w:rsidRPr="00802649" w:rsidRDefault="005663B4">
      <w:pPr>
        <w:pStyle w:val="TOC1"/>
        <w:tabs>
          <w:tab w:val="right" w:leader="dot" w:pos="9350"/>
        </w:tabs>
        <w:rPr>
          <w:rFonts w:asciiTheme="majorHAnsi" w:hAnsiTheme="majorHAnsi" w:cstheme="majorHAnsi"/>
          <w:noProof/>
        </w:rPr>
      </w:pPr>
      <w:r w:rsidRPr="00802649">
        <w:rPr>
          <w:rFonts w:asciiTheme="majorHAnsi" w:hAnsiTheme="majorHAnsi" w:cstheme="majorHAnsi"/>
        </w:rPr>
        <w:fldChar w:fldCharType="begin"/>
      </w:r>
      <w:r w:rsidR="00E257D7" w:rsidRPr="00802649">
        <w:rPr>
          <w:rFonts w:asciiTheme="majorHAnsi" w:hAnsiTheme="majorHAnsi" w:cstheme="majorHAnsi"/>
        </w:rPr>
        <w:instrText xml:space="preserve"> TOC \o "1-3" \h \z \u </w:instrText>
      </w:r>
      <w:r w:rsidRPr="00802649">
        <w:rPr>
          <w:rFonts w:asciiTheme="majorHAnsi" w:hAnsiTheme="majorHAnsi" w:cstheme="majorHAnsi"/>
        </w:rPr>
        <w:fldChar w:fldCharType="separate"/>
      </w:r>
      <w:hyperlink w:anchor="_Toc190850883" w:history="1">
        <w:r w:rsidR="00E257D7" w:rsidRPr="00802649">
          <w:rPr>
            <w:rStyle w:val="Hyperlink"/>
            <w:rFonts w:asciiTheme="majorHAnsi" w:hAnsiTheme="majorHAnsi" w:cstheme="majorHAnsi"/>
            <w:noProof/>
          </w:rPr>
          <w:t>Course Introduction and Learning Objectives</w:t>
        </w:r>
        <w:r w:rsidR="00E257D7" w:rsidRPr="00802649">
          <w:rPr>
            <w:rFonts w:asciiTheme="majorHAnsi" w:hAnsiTheme="majorHAnsi" w:cstheme="majorHAnsi"/>
            <w:noProof/>
            <w:webHidden/>
          </w:rPr>
          <w:tab/>
        </w:r>
        <w:r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_Toc190850883 \h </w:instrText>
        </w:r>
        <w:r w:rsidRPr="00802649">
          <w:rPr>
            <w:rFonts w:asciiTheme="majorHAnsi" w:hAnsiTheme="majorHAnsi" w:cstheme="majorHAnsi"/>
            <w:noProof/>
            <w:webHidden/>
          </w:rPr>
        </w:r>
        <w:r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3</w:t>
        </w:r>
        <w:r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885" w:history="1">
        <w:r w:rsidR="00E257D7" w:rsidRPr="00802649">
          <w:rPr>
            <w:rStyle w:val="Hyperlink"/>
            <w:rFonts w:asciiTheme="majorHAnsi" w:hAnsiTheme="majorHAnsi" w:cstheme="majorHAnsi"/>
            <w:noProof/>
          </w:rPr>
          <w:t>Unit 1, Segment 1: Broker Disclosures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_Toc190850885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6</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894" w:history="1">
        <w:r w:rsidR="00E257D7" w:rsidRPr="00802649">
          <w:rPr>
            <w:rStyle w:val="Hyperlink"/>
            <w:rFonts w:asciiTheme="majorHAnsi" w:hAnsiTheme="majorHAnsi" w:cstheme="majorHAnsi"/>
            <w:noProof/>
          </w:rPr>
          <w:t>Unit 1, Segment 2: Seller Disclosures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_Toc190850894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16</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898" w:history="1">
        <w:r w:rsidR="00E257D7" w:rsidRPr="00802649">
          <w:rPr>
            <w:rStyle w:val="Hyperlink"/>
            <w:rFonts w:asciiTheme="majorHAnsi" w:hAnsiTheme="majorHAnsi" w:cstheme="majorHAnsi"/>
            <w:noProof/>
          </w:rPr>
          <w:t>Unit 1, Segment 3: Buyer Disclosures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_Toc190850898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20</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899" w:history="1">
        <w:r w:rsidR="00E257D7" w:rsidRPr="00802649">
          <w:rPr>
            <w:rStyle w:val="Hyperlink"/>
            <w:rFonts w:asciiTheme="majorHAnsi" w:hAnsiTheme="majorHAnsi" w:cstheme="majorHAnsi"/>
            <w:noProof/>
          </w:rPr>
          <w:t>Unit 1, Segment 4: Specific Disclosures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_Toc190850899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22</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900" w:history="1">
        <w:r w:rsidR="00E257D7" w:rsidRPr="00802649">
          <w:rPr>
            <w:rStyle w:val="Hyperlink"/>
            <w:rFonts w:asciiTheme="majorHAnsi" w:hAnsiTheme="majorHAnsi" w:cstheme="majorHAnsi"/>
            <w:noProof/>
          </w:rPr>
          <w:t xml:space="preserve">Unit 2, Segment 1: Due Diligence and the </w:t>
        </w:r>
        <w:r w:rsidR="00E257D7" w:rsidRPr="00802649">
          <w:rPr>
            <w:rStyle w:val="Hyperlink"/>
            <w:rFonts w:asciiTheme="majorHAnsi" w:hAnsiTheme="majorHAnsi" w:cstheme="majorHAnsi"/>
            <w:i/>
            <w:noProof/>
          </w:rPr>
          <w:t>Buyer Advisory</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_Toc190850900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30</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901" w:history="1">
        <w:r w:rsidR="00E257D7" w:rsidRPr="00802649">
          <w:rPr>
            <w:rStyle w:val="Hyperlink"/>
            <w:rFonts w:asciiTheme="majorHAnsi" w:hAnsiTheme="majorHAnsi" w:cstheme="majorHAnsi"/>
            <w:noProof/>
          </w:rPr>
          <w:t>Unit 2, Segment 2: Document Review</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_Toc190850901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32</w:t>
        </w:r>
        <w:r w:rsidR="005663B4" w:rsidRPr="00802649">
          <w:rPr>
            <w:rFonts w:asciiTheme="majorHAnsi" w:hAnsiTheme="majorHAnsi" w:cstheme="majorHAnsi"/>
            <w:noProof/>
            <w:webHidden/>
          </w:rPr>
          <w:fldChar w:fldCharType="end"/>
        </w:r>
      </w:hyperlink>
    </w:p>
    <w:p w:rsidR="00E257D7" w:rsidRPr="00802649" w:rsidRDefault="00CD1D3C">
      <w:pPr>
        <w:pStyle w:val="TOC1"/>
        <w:tabs>
          <w:tab w:val="right" w:leader="dot" w:pos="9350"/>
        </w:tabs>
        <w:rPr>
          <w:rFonts w:asciiTheme="majorHAnsi" w:hAnsiTheme="majorHAnsi" w:cstheme="majorHAnsi"/>
          <w:noProof/>
        </w:rPr>
      </w:pPr>
      <w:hyperlink w:anchor="_Toc190850902" w:history="1">
        <w:r w:rsidR="00E257D7" w:rsidRPr="00802649">
          <w:rPr>
            <w:rStyle w:val="Hyperlink"/>
            <w:rFonts w:asciiTheme="majorHAnsi" w:hAnsiTheme="majorHAnsi" w:cstheme="majorHAnsi"/>
            <w:noProof/>
          </w:rPr>
          <w:t>Unit 2, Segment 3: Physical Inspections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_Toc190850902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36</w:t>
        </w:r>
        <w:r w:rsidR="005663B4" w:rsidRPr="00802649">
          <w:rPr>
            <w:rFonts w:asciiTheme="majorHAnsi" w:hAnsiTheme="majorHAnsi" w:cstheme="majorHAnsi"/>
            <w:noProof/>
            <w:webHidden/>
          </w:rPr>
          <w:fldChar w:fldCharType="end"/>
        </w:r>
      </w:hyperlink>
    </w:p>
    <w:p w:rsidR="00E257D7" w:rsidRDefault="00CD1D3C">
      <w:pPr>
        <w:pStyle w:val="TOC1"/>
        <w:tabs>
          <w:tab w:val="right" w:leader="dot" w:pos="9350"/>
        </w:tabs>
        <w:rPr>
          <w:rFonts w:asciiTheme="majorHAnsi" w:hAnsiTheme="majorHAnsi" w:cstheme="majorHAnsi"/>
        </w:rPr>
      </w:pPr>
      <w:hyperlink w:anchor="_Toc190850903" w:history="1">
        <w:r w:rsidR="00E257D7" w:rsidRPr="00802649">
          <w:rPr>
            <w:rStyle w:val="Hyperlink"/>
            <w:rFonts w:asciiTheme="majorHAnsi" w:hAnsiTheme="majorHAnsi" w:cstheme="majorHAnsi"/>
            <w:noProof/>
          </w:rPr>
          <w:t>Unit 2, Segment 4: Surrounding Area Conditions</w:t>
        </w:r>
        <w:r w:rsidR="00E257D7" w:rsidRPr="00802649">
          <w:rPr>
            <w:rFonts w:asciiTheme="majorHAnsi" w:hAnsiTheme="majorHAnsi" w:cstheme="majorHAnsi"/>
            <w:noProof/>
            <w:webHidden/>
          </w:rPr>
          <w:tab/>
        </w:r>
        <w:r w:rsidR="005663B4" w:rsidRPr="00802649">
          <w:rPr>
            <w:rFonts w:asciiTheme="majorHAnsi" w:hAnsiTheme="majorHAnsi" w:cstheme="majorHAnsi"/>
            <w:noProof/>
            <w:webHidden/>
          </w:rPr>
          <w:fldChar w:fldCharType="begin"/>
        </w:r>
        <w:r w:rsidR="00E257D7" w:rsidRPr="00802649">
          <w:rPr>
            <w:rFonts w:asciiTheme="majorHAnsi" w:hAnsiTheme="majorHAnsi" w:cstheme="majorHAnsi"/>
            <w:noProof/>
            <w:webHidden/>
          </w:rPr>
          <w:instrText xml:space="preserve"> PAGEREF _Toc190850903 \h </w:instrText>
        </w:r>
        <w:r w:rsidR="005663B4" w:rsidRPr="00802649">
          <w:rPr>
            <w:rFonts w:asciiTheme="majorHAnsi" w:hAnsiTheme="majorHAnsi" w:cstheme="majorHAnsi"/>
            <w:noProof/>
            <w:webHidden/>
          </w:rPr>
        </w:r>
        <w:r w:rsidR="005663B4" w:rsidRPr="00802649">
          <w:rPr>
            <w:rFonts w:asciiTheme="majorHAnsi" w:hAnsiTheme="majorHAnsi" w:cstheme="majorHAnsi"/>
            <w:noProof/>
            <w:webHidden/>
          </w:rPr>
          <w:fldChar w:fldCharType="separate"/>
        </w:r>
        <w:r w:rsidR="00E257D7" w:rsidRPr="00802649">
          <w:rPr>
            <w:rFonts w:asciiTheme="majorHAnsi" w:hAnsiTheme="majorHAnsi" w:cstheme="majorHAnsi"/>
            <w:noProof/>
            <w:webHidden/>
          </w:rPr>
          <w:t>43</w:t>
        </w:r>
        <w:r w:rsidR="005663B4" w:rsidRPr="00802649">
          <w:rPr>
            <w:rFonts w:asciiTheme="majorHAnsi" w:hAnsiTheme="majorHAnsi" w:cstheme="majorHAnsi"/>
            <w:noProof/>
            <w:webHidden/>
          </w:rPr>
          <w:fldChar w:fldCharType="end"/>
        </w:r>
      </w:hyperlink>
    </w:p>
    <w:p w:rsidR="00802649" w:rsidRDefault="00F83553" w:rsidP="006F7826">
      <w:pPr>
        <w:rPr>
          <w:rFonts w:asciiTheme="majorHAnsi" w:hAnsiTheme="majorHAnsi" w:cstheme="majorHAnsi"/>
          <w:b/>
        </w:rPr>
      </w:pPr>
      <w:r>
        <w:rPr>
          <w:rFonts w:asciiTheme="majorHAnsi" w:hAnsiTheme="majorHAnsi" w:cstheme="majorHAnsi"/>
          <w:b/>
        </w:rPr>
        <w:t>APPENDIX</w:t>
      </w:r>
    </w:p>
    <w:p w:rsidR="00F83553" w:rsidRDefault="00F83553" w:rsidP="006F7826">
      <w:pPr>
        <w:rPr>
          <w:rFonts w:asciiTheme="majorHAnsi" w:hAnsiTheme="majorHAnsi" w:cstheme="majorHAnsi"/>
          <w:b/>
        </w:rPr>
      </w:pPr>
      <w:r>
        <w:rPr>
          <w:rFonts w:asciiTheme="majorHAnsi" w:hAnsiTheme="majorHAnsi" w:cstheme="majorHAnsi"/>
          <w:b/>
        </w:rPr>
        <w:t>Residential Seller Disclosure Advsory</w:t>
      </w:r>
    </w:p>
    <w:p w:rsidR="00F83553" w:rsidRDefault="00F83553" w:rsidP="006F7826">
      <w:pPr>
        <w:rPr>
          <w:rFonts w:asciiTheme="majorHAnsi" w:hAnsiTheme="majorHAnsi" w:cstheme="majorHAnsi"/>
          <w:b/>
        </w:rPr>
      </w:pPr>
      <w:r>
        <w:rPr>
          <w:rFonts w:asciiTheme="majorHAnsi" w:hAnsiTheme="majorHAnsi" w:cstheme="majorHAnsi"/>
          <w:b/>
        </w:rPr>
        <w:t>EPA Addresses Use of MLS Lead Based Paint Disclosure Forms Article</w:t>
      </w:r>
    </w:p>
    <w:p w:rsidR="00F83553" w:rsidRDefault="00F83553" w:rsidP="006F7826">
      <w:pPr>
        <w:rPr>
          <w:rFonts w:asciiTheme="majorHAnsi" w:hAnsiTheme="majorHAnsi" w:cstheme="majorHAnsi"/>
          <w:b/>
        </w:rPr>
      </w:pPr>
      <w:r>
        <w:rPr>
          <w:rFonts w:asciiTheme="majorHAnsi" w:hAnsiTheme="majorHAnsi" w:cstheme="majorHAnsi"/>
          <w:b/>
        </w:rPr>
        <w:t>Lead Based Paint Disclosure Article</w:t>
      </w:r>
    </w:p>
    <w:p w:rsidR="00F83553" w:rsidRDefault="00F83553" w:rsidP="006F7826">
      <w:pPr>
        <w:rPr>
          <w:rFonts w:asciiTheme="majorHAnsi" w:hAnsiTheme="majorHAnsi" w:cstheme="majorHAnsi"/>
          <w:b/>
        </w:rPr>
      </w:pPr>
      <w:r>
        <w:rPr>
          <w:rFonts w:asciiTheme="majorHAnsi" w:hAnsiTheme="majorHAnsi" w:cstheme="majorHAnsi"/>
          <w:b/>
        </w:rPr>
        <w:t>REO Transactions Article</w:t>
      </w:r>
    </w:p>
    <w:p w:rsidR="00F83553" w:rsidRDefault="00F83553" w:rsidP="006F7826">
      <w:pPr>
        <w:rPr>
          <w:rFonts w:asciiTheme="majorHAnsi" w:hAnsiTheme="majorHAnsi" w:cstheme="majorHAnsi"/>
          <w:b/>
        </w:rPr>
      </w:pPr>
      <w:r>
        <w:rPr>
          <w:rFonts w:asciiTheme="majorHAnsi" w:hAnsiTheme="majorHAnsi" w:cstheme="majorHAnsi"/>
          <w:b/>
        </w:rPr>
        <w:t>Buyer Advisory (April 2017)</w:t>
      </w:r>
    </w:p>
    <w:p w:rsidR="00F83553" w:rsidRDefault="00F83553" w:rsidP="006F7826">
      <w:pPr>
        <w:rPr>
          <w:rFonts w:asciiTheme="majorHAnsi" w:hAnsiTheme="majorHAnsi" w:cstheme="majorHAnsi"/>
          <w:b/>
        </w:rPr>
      </w:pPr>
      <w:r>
        <w:rPr>
          <w:rFonts w:asciiTheme="majorHAnsi" w:hAnsiTheme="majorHAnsi" w:cstheme="majorHAnsi"/>
          <w:b/>
        </w:rPr>
        <w:t>Court Cases That Relate to the Topics in this Class</w:t>
      </w:r>
    </w:p>
    <w:p w:rsidR="00802649" w:rsidRDefault="005663B4" w:rsidP="00404060">
      <w:pPr>
        <w:jc w:val="center"/>
        <w:rPr>
          <w:rFonts w:asciiTheme="majorHAnsi" w:hAnsiTheme="majorHAnsi" w:cstheme="majorHAnsi"/>
        </w:rPr>
      </w:pPr>
      <w:r w:rsidRPr="00802649">
        <w:rPr>
          <w:rFonts w:asciiTheme="majorHAnsi" w:hAnsiTheme="majorHAnsi" w:cstheme="majorHAnsi"/>
        </w:rPr>
        <w:fldChar w:fldCharType="end"/>
      </w:r>
    </w:p>
    <w:p w:rsidR="00E257D7" w:rsidRPr="00802649" w:rsidRDefault="00E257D7" w:rsidP="00404060">
      <w:pPr>
        <w:jc w:val="center"/>
        <w:rPr>
          <w:rFonts w:asciiTheme="majorHAnsi" w:hAnsiTheme="majorHAnsi" w:cstheme="majorHAnsi"/>
          <w:b/>
          <w:bCs/>
          <w:sz w:val="20"/>
          <w:szCs w:val="20"/>
        </w:rPr>
      </w:pPr>
      <w:r w:rsidRPr="00802649">
        <w:rPr>
          <w:rFonts w:asciiTheme="majorHAnsi" w:hAnsiTheme="majorHAnsi" w:cstheme="majorHAnsi"/>
          <w:b/>
          <w:bCs/>
          <w:sz w:val="20"/>
          <w:szCs w:val="20"/>
        </w:rPr>
        <w:t xml:space="preserve"> THE OPINIONS EXPRESSED IN THESE MATERIALS AND IN THE ORAL PRESENTATIONS ARE NOT NECESSARILY THOSE OF THE ARIZONA ASSOCIATION OF REALTORS®.</w:t>
      </w:r>
    </w:p>
    <w:p w:rsidR="00E257D7" w:rsidRPr="00802649" w:rsidRDefault="00E257D7" w:rsidP="00404060">
      <w:pPr>
        <w:spacing w:after="0" w:line="240" w:lineRule="auto"/>
        <w:jc w:val="center"/>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napToGrid w:val="0"/>
          <w:sz w:val="20"/>
          <w:szCs w:val="20"/>
        </w:rPr>
        <w:t xml:space="preserve">THIS INFORMATION IS PROVIDED FOR DISCUSSION PURPOSES ONLY AND NOT AS DEFINITIVE LEGAL ADVICE.  </w:t>
      </w:r>
      <w:r w:rsidRPr="00802649">
        <w:rPr>
          <w:rFonts w:asciiTheme="majorHAnsi" w:hAnsiTheme="majorHAnsi" w:cstheme="majorHAnsi"/>
          <w:b/>
          <w:bCs/>
          <w:sz w:val="20"/>
          <w:szCs w:val="20"/>
        </w:rPr>
        <w:t>NEITHER THE SPEAKERS NOR THE MATERIALS PROVIDED PURPORT TO BE GIVING LEGAL ADVICE AND SHOULD NOT BE RELIED UPON FOR THAT PURPOSE.  Y</w:t>
      </w:r>
      <w:r w:rsidRPr="00802649">
        <w:rPr>
          <w:rFonts w:asciiTheme="majorHAnsi" w:hAnsiTheme="majorHAnsi" w:cstheme="majorHAnsi"/>
          <w:b/>
          <w:bCs/>
          <w:snapToGrid w:val="0"/>
          <w:sz w:val="20"/>
          <w:szCs w:val="20"/>
        </w:rPr>
        <w:t>OU SHOULD NOT ACT UPON THIS INFORMATION WITHOUT SEEKING INDEPENDENT LEGAL COUNSEL.</w:t>
      </w: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Copyright © 20</w:t>
      </w:r>
      <w:r w:rsidR="008722E5" w:rsidRPr="00802649">
        <w:rPr>
          <w:rFonts w:asciiTheme="majorHAnsi" w:hAnsiTheme="majorHAnsi" w:cstheme="majorHAnsi"/>
          <w:b/>
          <w:bCs/>
          <w:sz w:val="20"/>
          <w:szCs w:val="20"/>
        </w:rPr>
        <w:t>10</w:t>
      </w:r>
    </w:p>
    <w:p w:rsidR="00E257D7" w:rsidRPr="00802649" w:rsidRDefault="00E257D7" w:rsidP="00404060">
      <w:pPr>
        <w:spacing w:after="0" w:line="240" w:lineRule="auto"/>
        <w:jc w:val="center"/>
        <w:rPr>
          <w:rFonts w:asciiTheme="majorHAnsi" w:hAnsiTheme="majorHAnsi" w:cstheme="majorHAnsi"/>
          <w:b/>
          <w:bCs/>
          <w:sz w:val="20"/>
          <w:szCs w:val="20"/>
        </w:rPr>
      </w:pPr>
      <w:smartTag w:uri="urn:schemas-microsoft-com:office:smarttags" w:element="place">
        <w:r w:rsidRPr="00802649">
          <w:rPr>
            <w:rFonts w:asciiTheme="majorHAnsi" w:hAnsiTheme="majorHAnsi" w:cstheme="majorHAnsi"/>
            <w:b/>
            <w:bCs/>
            <w:sz w:val="20"/>
            <w:szCs w:val="20"/>
          </w:rPr>
          <w:t>Arizona</w:t>
        </w:r>
      </w:smartTag>
      <w:r w:rsidRPr="00802649">
        <w:rPr>
          <w:rFonts w:asciiTheme="majorHAnsi" w:hAnsiTheme="majorHAnsi" w:cstheme="majorHAnsi"/>
          <w:b/>
          <w:bCs/>
          <w:sz w:val="20"/>
          <w:szCs w:val="20"/>
        </w:rPr>
        <w:t xml:space="preserve"> Association of REALTORS® </w:t>
      </w:r>
    </w:p>
    <w:p w:rsidR="00E257D7"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All Rights Reserved</w:t>
      </w:r>
    </w:p>
    <w:p w:rsidR="00F83553" w:rsidRDefault="00F83553" w:rsidP="00404060">
      <w:pPr>
        <w:spacing w:after="0" w:line="240" w:lineRule="auto"/>
        <w:jc w:val="center"/>
        <w:rPr>
          <w:rFonts w:asciiTheme="majorHAnsi" w:hAnsiTheme="majorHAnsi" w:cstheme="majorHAnsi"/>
          <w:b/>
          <w:bCs/>
          <w:sz w:val="20"/>
          <w:szCs w:val="20"/>
        </w:rPr>
      </w:pPr>
    </w:p>
    <w:p w:rsidR="00F83553" w:rsidRDefault="00F83553">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br w:type="page"/>
      </w:r>
    </w:p>
    <w:p w:rsidR="00F83553" w:rsidRPr="00802649" w:rsidRDefault="00F83553" w:rsidP="00404060">
      <w:pPr>
        <w:spacing w:after="0" w:line="240" w:lineRule="auto"/>
        <w:jc w:val="center"/>
        <w:rPr>
          <w:rFonts w:asciiTheme="majorHAnsi" w:hAnsiTheme="majorHAnsi" w:cstheme="majorHAnsi"/>
          <w:b/>
          <w:bCs/>
          <w:sz w:val="20"/>
          <w:szCs w:val="20"/>
        </w:rPr>
      </w:pPr>
    </w:p>
    <w:p w:rsidR="00E257D7" w:rsidRPr="00802649" w:rsidRDefault="00E257D7" w:rsidP="00D33FCA">
      <w:pPr>
        <w:pStyle w:val="Heading1"/>
        <w:rPr>
          <w:rFonts w:asciiTheme="majorHAnsi" w:hAnsiTheme="majorHAnsi" w:cstheme="majorHAnsi"/>
          <w:color w:val="auto"/>
          <w:sz w:val="32"/>
          <w:szCs w:val="32"/>
        </w:rPr>
      </w:pPr>
      <w:bookmarkStart w:id="0" w:name="_Toc190850883"/>
      <w:r w:rsidRPr="00802649">
        <w:rPr>
          <w:rFonts w:asciiTheme="majorHAnsi" w:hAnsiTheme="majorHAnsi" w:cstheme="majorHAnsi"/>
          <w:color w:val="auto"/>
          <w:sz w:val="32"/>
          <w:szCs w:val="32"/>
        </w:rPr>
        <w:t>Course Introduction and Learning Objectives</w:t>
      </w:r>
      <w:bookmarkStart w:id="1" w:name="_GoBack"/>
      <w:bookmarkEnd w:id="0"/>
      <w:bookmarkEnd w:id="1"/>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Introduction</w:t>
      </w:r>
    </w:p>
    <w:p w:rsidR="00E257D7" w:rsidRPr="00802649" w:rsidRDefault="00E257D7" w:rsidP="00D33FCA">
      <w:pPr>
        <w:rPr>
          <w:rFonts w:asciiTheme="majorHAnsi" w:hAnsiTheme="majorHAnsi" w:cstheme="majorHAnsi"/>
          <w:sz w:val="24"/>
          <w:szCs w:val="24"/>
        </w:rPr>
      </w:pPr>
      <w:r w:rsidRPr="00802649">
        <w:rPr>
          <w:rFonts w:asciiTheme="majorHAnsi" w:hAnsiTheme="majorHAnsi" w:cstheme="majorHAnsi"/>
          <w:sz w:val="24"/>
          <w:szCs w:val="24"/>
        </w:rPr>
        <w:t xml:space="preserve">This course addresses risk management topics and issues related to disclosures and due diligence.  The Disclosures Unit will identify risks associated with brokers’ failure to make the required disclosures to clients and customers, seller disclosure requirements under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statutes and buyer disclosures.  The Due Diligence Unit will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in the due diligence process and identify the risks associated with failing to complete the appropriate inspections and investigations.  Portions of the text in this course were taken from </w:t>
      </w:r>
      <w:r w:rsidRPr="00802649">
        <w:rPr>
          <w:rFonts w:asciiTheme="majorHAnsi" w:hAnsiTheme="majorHAnsi" w:cstheme="majorHAnsi"/>
          <w:i/>
          <w:sz w:val="24"/>
          <w:szCs w:val="24"/>
        </w:rPr>
        <w:t>Arizona Real Estate: A Professional’s Guide to Law and Practice,</w:t>
      </w:r>
      <w:r w:rsidRPr="00802649">
        <w:rPr>
          <w:rFonts w:asciiTheme="majorHAnsi" w:hAnsiTheme="majorHAnsi" w:cstheme="majorHAnsi"/>
          <w:sz w:val="24"/>
          <w:szCs w:val="24"/>
        </w:rPr>
        <w:t xml:space="preserve"> by K. </w:t>
      </w:r>
      <w:smartTag w:uri="urn:schemas-microsoft-com:office:smarttags" w:element="place">
        <w:r w:rsidRPr="00802649">
          <w:rPr>
            <w:rFonts w:asciiTheme="majorHAnsi" w:hAnsiTheme="majorHAnsi" w:cstheme="majorHAnsi"/>
            <w:sz w:val="24"/>
            <w:szCs w:val="24"/>
          </w:rPr>
          <w:t>Michelle Lind</w:t>
        </w:r>
      </w:smartTag>
      <w:r w:rsidRPr="00802649">
        <w:rPr>
          <w:rFonts w:asciiTheme="majorHAnsi" w:hAnsiTheme="majorHAnsi" w:cstheme="majorHAnsi"/>
          <w:sz w:val="24"/>
          <w:szCs w:val="24"/>
        </w:rPr>
        <w:t>, Esq., General Counsel for the Arizona Association of REALTORS</w:t>
      </w:r>
      <w:r w:rsidRPr="00802649">
        <w:rPr>
          <w:rFonts w:asciiTheme="majorHAnsi" w:hAnsiTheme="majorHAnsi" w:cstheme="majorHAnsi"/>
          <w:sz w:val="24"/>
          <w:szCs w:val="24"/>
          <w:vertAlign w:val="superscript"/>
        </w:rPr>
        <w:t>®</w:t>
      </w:r>
      <w:r w:rsidRPr="00802649">
        <w:rPr>
          <w:rFonts w:asciiTheme="majorHAnsi" w:hAnsiTheme="majorHAnsi" w:cstheme="majorHAnsi"/>
          <w:sz w:val="24"/>
          <w:szCs w:val="24"/>
        </w:rPr>
        <w:t>. This course covers material from chapters 14 and 16.</w:t>
      </w:r>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Learning Objectives</w:t>
      </w:r>
    </w:p>
    <w:p w:rsidR="00E257D7" w:rsidRPr="00802649" w:rsidRDefault="00E257D7" w:rsidP="00D33FCA">
      <w:pPr>
        <w:rPr>
          <w:rFonts w:asciiTheme="majorHAnsi" w:hAnsiTheme="majorHAnsi" w:cstheme="majorHAnsi"/>
          <w:i/>
          <w:sz w:val="24"/>
          <w:szCs w:val="24"/>
          <w:u w:val="single"/>
        </w:rPr>
      </w:pPr>
      <w:r w:rsidRPr="00802649">
        <w:rPr>
          <w:rFonts w:asciiTheme="majorHAnsi" w:hAnsiTheme="majorHAnsi" w:cstheme="majorHAnsi"/>
          <w:i/>
          <w:sz w:val="24"/>
          <w:szCs w:val="24"/>
          <w:u w:val="single"/>
        </w:rPr>
        <w:t>Upon completion of this course, students will be able to:</w:t>
      </w: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the risks associated with failing to make the required disclosures to clients and nonclients.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Identify required seller disclosures as required by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Identify items required to be disclosed by buyers in a transaction.</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802649" w:rsidRDefault="00802649" w:rsidP="00387A52">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risks associated with buyers failing to complete the appropriate inspections and investigations.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F83553" w:rsidRPr="00CA6CAB" w:rsidRDefault="00E257D7" w:rsidP="00F83553">
      <w:pPr>
        <w:rPr>
          <w:rFonts w:ascii="Arial" w:hAnsi="Arial" w:cs="Arial"/>
          <w:b/>
        </w:rPr>
      </w:pPr>
      <w:r w:rsidRPr="00802649">
        <w:rPr>
          <w:rFonts w:asciiTheme="majorHAnsi" w:hAnsiTheme="majorHAnsi" w:cstheme="majorHAnsi"/>
          <w:sz w:val="24"/>
          <w:szCs w:val="24"/>
        </w:rPr>
        <w:br w:type="page"/>
      </w:r>
      <w:bookmarkStart w:id="2" w:name="_Toc190850863"/>
      <w:r w:rsidR="00F83553" w:rsidRPr="00CA6CAB">
        <w:rPr>
          <w:rFonts w:ascii="Arial" w:hAnsi="Arial" w:cs="Arial"/>
          <w:b/>
          <w:sz w:val="32"/>
          <w:szCs w:val="32"/>
        </w:rPr>
        <w:lastRenderedPageBreak/>
        <w:t>For the Student: What I Hope to Learn Today</w:t>
      </w:r>
      <w:bookmarkEnd w:id="2"/>
    </w:p>
    <w:p w:rsidR="00F83553" w:rsidRPr="0010182B" w:rsidRDefault="00F83553" w:rsidP="00F83553">
      <w:pPr>
        <w:rPr>
          <w:rFonts w:ascii="Arial" w:hAnsi="Arial" w:cs="Arial"/>
          <w:sz w:val="24"/>
          <w:szCs w:val="24"/>
        </w:rPr>
      </w:pPr>
    </w:p>
    <w:p w:rsidR="00F83553" w:rsidRPr="0010182B" w:rsidRDefault="00F83553" w:rsidP="00F83553">
      <w:pPr>
        <w:rPr>
          <w:rFonts w:ascii="Arial" w:hAnsi="Arial" w:cs="Arial"/>
          <w:i/>
          <w:sz w:val="24"/>
          <w:szCs w:val="24"/>
        </w:rPr>
      </w:pPr>
      <w:r w:rsidRPr="0010182B">
        <w:rPr>
          <w:rFonts w:ascii="Arial" w:hAnsi="Arial" w:cs="Arial"/>
          <w:i/>
          <w:sz w:val="24"/>
          <w:szCs w:val="24"/>
        </w:rPr>
        <w:t>Take a moment to briefly answer the following questions:</w:t>
      </w:r>
    </w:p>
    <w:p w:rsidR="00F83553" w:rsidRPr="0010182B" w:rsidRDefault="00F83553" w:rsidP="00F83553">
      <w:pPr>
        <w:rPr>
          <w:rFonts w:ascii="Arial" w:hAnsi="Arial" w:cs="Arial"/>
          <w:i/>
          <w:sz w:val="24"/>
          <w:szCs w:val="24"/>
        </w:rPr>
      </w:pPr>
    </w:p>
    <w:p w:rsidR="00F83553" w:rsidRPr="0010182B" w:rsidRDefault="00F83553" w:rsidP="00F83553">
      <w:pPr>
        <w:pStyle w:val="ListParagraph"/>
        <w:numPr>
          <w:ilvl w:val="0"/>
          <w:numId w:val="2"/>
        </w:numPr>
        <w:rPr>
          <w:rFonts w:ascii="Arial" w:hAnsi="Arial" w:cs="Arial"/>
          <w:b/>
          <w:sz w:val="24"/>
          <w:szCs w:val="24"/>
        </w:rPr>
      </w:pPr>
      <w:r w:rsidRPr="0010182B">
        <w:rPr>
          <w:rFonts w:ascii="Arial" w:hAnsi="Arial" w:cs="Arial"/>
          <w:b/>
          <w:sz w:val="24"/>
          <w:szCs w:val="24"/>
        </w:rPr>
        <w:t>What is the most important thing you hope to learn in this course?</w:t>
      </w: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rPr>
          <w:rFonts w:ascii="Arial" w:hAnsi="Arial" w:cs="Arial"/>
          <w:b/>
          <w:sz w:val="24"/>
          <w:szCs w:val="24"/>
        </w:rPr>
      </w:pPr>
    </w:p>
    <w:p w:rsidR="00F83553" w:rsidRPr="0010182B" w:rsidRDefault="00F83553" w:rsidP="00F83553">
      <w:pPr>
        <w:pStyle w:val="ListParagraph"/>
        <w:numPr>
          <w:ilvl w:val="0"/>
          <w:numId w:val="2"/>
        </w:numPr>
        <w:rPr>
          <w:rFonts w:ascii="Arial" w:hAnsi="Arial" w:cs="Arial"/>
          <w:b/>
          <w:sz w:val="24"/>
          <w:szCs w:val="24"/>
        </w:rPr>
      </w:pPr>
      <w:r w:rsidRPr="0010182B">
        <w:rPr>
          <w:rFonts w:ascii="Arial" w:hAnsi="Arial" w:cs="Arial"/>
          <w:b/>
          <w:sz w:val="24"/>
          <w:szCs w:val="24"/>
        </w:rPr>
        <w:t>What risk-related issues or topics most concern you?</w:t>
      </w:r>
    </w:p>
    <w:p w:rsidR="00F83553" w:rsidRDefault="00F83553">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rsidR="00E257D7" w:rsidRPr="00802649" w:rsidRDefault="00E257D7">
      <w:pPr>
        <w:rPr>
          <w:rFonts w:asciiTheme="majorHAnsi" w:hAnsiTheme="majorHAnsi" w:cstheme="majorHAnsi"/>
          <w:sz w:val="24"/>
          <w:szCs w:val="24"/>
        </w:rPr>
      </w:pPr>
    </w:p>
    <w:p w:rsidR="00E257D7" w:rsidRPr="00F83553" w:rsidRDefault="00E257D7" w:rsidP="00F27259">
      <w:pPr>
        <w:pStyle w:val="Heading1"/>
        <w:rPr>
          <w:rFonts w:asciiTheme="majorHAnsi" w:hAnsiTheme="majorHAnsi" w:cstheme="majorHAnsi"/>
          <w:vanish/>
          <w:color w:val="FF0000"/>
          <w:sz w:val="32"/>
          <w:szCs w:val="32"/>
        </w:rPr>
      </w:pPr>
      <w:bookmarkStart w:id="3" w:name="_Toc190850884"/>
      <w:r w:rsidRPr="00F83553">
        <w:rPr>
          <w:rFonts w:asciiTheme="majorHAnsi" w:hAnsiTheme="majorHAnsi" w:cstheme="majorHAnsi"/>
          <w:vanish/>
          <w:color w:val="FF0000"/>
          <w:sz w:val="32"/>
          <w:szCs w:val="32"/>
        </w:rPr>
        <w:t>For the Instructor: Course Layout</w:t>
      </w:r>
      <w:bookmarkEnd w:id="3"/>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Both the Instructor’s Guide and the Student Manual use the same layout.  The page numbers correlate to allow for easy reference.  The black text appears in both manuals, while red text denotes answers to questions or other information contained only in the instructor version.    </w:t>
      </w: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This Page in the Student Manual</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Page 4 in the Student Manual asks the students to take a moment at the beginning of the course to briefly answer the following questions:</w:t>
      </w: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p>
    <w:p w:rsidR="00E257D7" w:rsidRPr="00802649" w:rsidRDefault="00E257D7" w:rsidP="00F27259">
      <w:pPr>
        <w:rPr>
          <w:rFonts w:asciiTheme="majorHAnsi" w:hAnsiTheme="majorHAnsi" w:cstheme="majorHAnsi"/>
          <w:sz w:val="24"/>
          <w:szCs w:val="24"/>
        </w:rPr>
      </w:pPr>
    </w:p>
    <w:p w:rsidR="00E257D7" w:rsidRPr="00802649" w:rsidRDefault="00E257D7" w:rsidP="00CF7C1F">
      <w:pPr>
        <w:jc w:val="center"/>
        <w:rPr>
          <w:rFonts w:asciiTheme="majorHAnsi" w:hAnsiTheme="majorHAnsi" w:cstheme="majorHAnsi"/>
          <w:b/>
          <w:sz w:val="72"/>
          <w:szCs w:val="72"/>
        </w:rPr>
      </w:pPr>
    </w:p>
    <w:p w:rsidR="00E257D7" w:rsidRPr="00802649" w:rsidRDefault="00E257D7" w:rsidP="00972C70">
      <w:pPr>
        <w:jc w:val="center"/>
        <w:rPr>
          <w:rFonts w:asciiTheme="majorHAnsi" w:hAnsiTheme="majorHAnsi" w:cstheme="majorHAnsi"/>
          <w:b/>
          <w:sz w:val="72"/>
          <w:szCs w:val="72"/>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4"/>
          <w:szCs w:val="24"/>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1: Disclosure</w:t>
      </w: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r w:rsidRPr="00802649">
        <w:rPr>
          <w:rFonts w:asciiTheme="majorHAnsi" w:hAnsiTheme="majorHAnsi" w:cstheme="majorHAnsi"/>
          <w:b/>
          <w:sz w:val="28"/>
          <w:szCs w:val="28"/>
        </w:rPr>
        <w:t xml:space="preserve">What you don’t know </w:t>
      </w:r>
      <w:r w:rsidRPr="00802649">
        <w:rPr>
          <w:rFonts w:asciiTheme="majorHAnsi" w:hAnsiTheme="majorHAnsi" w:cstheme="majorHAnsi"/>
          <w:b/>
          <w:i/>
          <w:sz w:val="28"/>
          <w:szCs w:val="28"/>
        </w:rPr>
        <w:t>can</w:t>
      </w:r>
      <w:r w:rsidRPr="00802649">
        <w:rPr>
          <w:rFonts w:asciiTheme="majorHAnsi" w:hAnsiTheme="majorHAnsi" w:cstheme="majorHAnsi"/>
          <w:b/>
          <w:sz w:val="28"/>
          <w:szCs w:val="28"/>
        </w:rPr>
        <w:t xml:space="preserve"> hurt you…</w:t>
      </w:r>
    </w:p>
    <w:p w:rsidR="00E257D7" w:rsidRPr="00802649" w:rsidRDefault="00277FEA" w:rsidP="00CF7C1F">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4" w:space="0" w:color="auto"/>
        </w:rPr>
        <w:drawing>
          <wp:inline distT="0" distB="0" distL="0" distR="0">
            <wp:extent cx="2675270" cy="4146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83510" cy="4159469"/>
                    </a:xfrm>
                    <a:prstGeom prst="rect">
                      <a:avLst/>
                    </a:prstGeom>
                    <a:noFill/>
                    <a:ln w="9525">
                      <a:noFill/>
                      <a:miter lim="800000"/>
                      <a:headEnd/>
                      <a:tailEnd/>
                    </a:ln>
                  </pic:spPr>
                </pic:pic>
              </a:graphicData>
            </a:graphic>
          </wp:inline>
        </w:drawing>
      </w:r>
    </w:p>
    <w:p w:rsidR="00E257D7" w:rsidRPr="00802649" w:rsidRDefault="00E257D7" w:rsidP="00CF7C1F">
      <w:pPr>
        <w:jc w:val="center"/>
        <w:rPr>
          <w:rFonts w:asciiTheme="majorHAnsi" w:hAnsiTheme="majorHAnsi" w:cstheme="majorHAnsi"/>
          <w:b/>
          <w:sz w:val="28"/>
          <w:szCs w:val="28"/>
        </w:rPr>
      </w:pPr>
    </w:p>
    <w:p w:rsidR="00E257D7" w:rsidRPr="00802649" w:rsidRDefault="00E257D7" w:rsidP="004723F7">
      <w:pPr>
        <w:rPr>
          <w:rFonts w:asciiTheme="majorHAnsi" w:hAnsiTheme="majorHAnsi" w:cstheme="majorHAnsi"/>
          <w:b/>
          <w:sz w:val="28"/>
          <w:szCs w:val="28"/>
        </w:rPr>
      </w:pPr>
    </w:p>
    <w:p w:rsidR="00E257D7" w:rsidRPr="00F83553" w:rsidRDefault="00E257D7" w:rsidP="004723F7">
      <w:pPr>
        <w:pStyle w:val="Heading1"/>
        <w:rPr>
          <w:rFonts w:asciiTheme="majorHAnsi" w:hAnsiTheme="majorHAnsi" w:cstheme="majorHAnsi"/>
          <w:color w:val="000000" w:themeColor="text1"/>
          <w:sz w:val="32"/>
          <w:szCs w:val="32"/>
        </w:rPr>
      </w:pPr>
      <w:bookmarkStart w:id="4" w:name="_Toc190850885"/>
      <w:r w:rsidRPr="00F83553">
        <w:rPr>
          <w:rFonts w:asciiTheme="majorHAnsi" w:hAnsiTheme="majorHAnsi" w:cstheme="majorHAnsi"/>
          <w:color w:val="000000" w:themeColor="text1"/>
          <w:sz w:val="32"/>
          <w:szCs w:val="32"/>
        </w:rPr>
        <w:lastRenderedPageBreak/>
        <w:t>Unit 1, Segment 1: Broker Disclosures</w:t>
      </w:r>
      <w:bookmarkEnd w:id="4"/>
    </w:p>
    <w:p w:rsidR="00E257D7" w:rsidRPr="00802649" w:rsidRDefault="00E257D7">
      <w:pPr>
        <w:rPr>
          <w:rFonts w:asciiTheme="majorHAnsi" w:hAnsiTheme="majorHAnsi" w:cstheme="majorHAnsi"/>
        </w:rPr>
      </w:pPr>
    </w:p>
    <w:p w:rsidR="00E257D7" w:rsidRPr="00F83553" w:rsidRDefault="00E257D7" w:rsidP="001233C5">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Timing: 90 minutes total for this segment, approximately 10-15 minutes for each case</w:t>
      </w: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1233C5">
      <w:pPr>
        <w:pStyle w:val="ListParagraph"/>
        <w:numPr>
          <w:ilvl w:val="0"/>
          <w:numId w:val="3"/>
        </w:numPr>
        <w:spacing w:after="0" w:line="240" w:lineRule="auto"/>
        <w:rPr>
          <w:rFonts w:asciiTheme="majorHAnsi" w:hAnsiTheme="majorHAnsi" w:cstheme="majorHAnsi"/>
          <w:sz w:val="24"/>
          <w:szCs w:val="24"/>
        </w:rPr>
      </w:pPr>
      <w:r w:rsidRPr="00802649">
        <w:rPr>
          <w:rFonts w:asciiTheme="majorHAnsi" w:hAnsiTheme="majorHAnsi" w:cstheme="majorHAnsi"/>
          <w:sz w:val="24"/>
          <w:szCs w:val="24"/>
        </w:rPr>
        <w:t>To identify the risks associated with failing to make the required disclosures to clients and non-clients</w:t>
      </w:r>
    </w:p>
    <w:p w:rsidR="00E257D7" w:rsidRPr="00802649" w:rsidRDefault="00E257D7" w:rsidP="001233C5">
      <w:pPr>
        <w:rPr>
          <w:rFonts w:asciiTheme="majorHAnsi" w:hAnsiTheme="majorHAnsi" w:cstheme="majorHAnsi"/>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make the required disclosures to clients and nonclients?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Civil penalties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Misrepresentation</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Liability related to undisclosed property defects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Others:</w:t>
      </w:r>
    </w:p>
    <w:p w:rsidR="00E257D7" w:rsidRPr="00802649" w:rsidRDefault="00E257D7" w:rsidP="001233C5">
      <w:pPr>
        <w:rPr>
          <w:rFonts w:asciiTheme="majorHAnsi" w:hAnsiTheme="majorHAnsi" w:cstheme="majorHAnsi"/>
          <w:b/>
          <w:color w:val="FF0000"/>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1233C5">
      <w:pPr>
        <w:rPr>
          <w:rFonts w:asciiTheme="majorHAnsi" w:hAnsiTheme="majorHAnsi" w:cstheme="majorHAnsi"/>
          <w:sz w:val="24"/>
          <w:szCs w:val="24"/>
        </w:rPr>
      </w:pPr>
      <w:r w:rsidRPr="00802649">
        <w:rPr>
          <w:rFonts w:asciiTheme="majorHAnsi" w:hAnsiTheme="majorHAnsi" w:cstheme="majorHAnsi"/>
          <w:sz w:val="24"/>
          <w:szCs w:val="24"/>
        </w:rPr>
        <w:t>Brokers owe fiduciary duties to their principals in a transaction.  However, brokers and salespersons have certain duties to disclose to clients and nonclients under common law.  The following cases highlight the required disclosures.</w:t>
      </w:r>
    </w:p>
    <w:p w:rsidR="00E257D7" w:rsidRPr="00802649" w:rsidRDefault="00E257D7">
      <w:pPr>
        <w:rPr>
          <w:rFonts w:asciiTheme="majorHAnsi" w:hAnsiTheme="majorHAnsi" w:cstheme="majorHAnsi"/>
        </w:rPr>
      </w:pPr>
    </w:p>
    <w:p w:rsidR="00E257D7" w:rsidRPr="00802649" w:rsidRDefault="00E257D7">
      <w:pPr>
        <w:rPr>
          <w:rFonts w:asciiTheme="majorHAnsi" w:hAnsiTheme="majorHAnsi" w:cstheme="majorHAnsi"/>
          <w:color w:val="FF0000"/>
          <w:sz w:val="24"/>
          <w:szCs w:val="24"/>
        </w:rPr>
      </w:pPr>
      <w:r w:rsidRPr="00F83553">
        <w:rPr>
          <w:rFonts w:asciiTheme="majorHAnsi" w:hAnsiTheme="majorHAnsi" w:cstheme="majorHAnsi"/>
          <w:b/>
          <w:i/>
          <w:vanish/>
          <w:color w:val="FF0000"/>
          <w:sz w:val="24"/>
          <w:szCs w:val="24"/>
        </w:rPr>
        <w:t>[Note: For the following cases, the students have only the case facts and space to make notes on the decisions.]</w:t>
      </w:r>
      <w:r w:rsidRPr="00802649">
        <w:rPr>
          <w:rFonts w:asciiTheme="majorHAnsi" w:hAnsiTheme="majorHAnsi" w:cstheme="majorHAnsi"/>
          <w:color w:val="FF0000"/>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nb-NO"/>
        </w:rPr>
      </w:pPr>
      <w:bookmarkStart w:id="5" w:name="_Toc190850886"/>
      <w:r w:rsidRPr="00F83553">
        <w:rPr>
          <w:rFonts w:asciiTheme="majorHAnsi" w:hAnsiTheme="majorHAnsi" w:cstheme="majorHAnsi"/>
          <w:i/>
          <w:color w:val="000000" w:themeColor="text1"/>
          <w:sz w:val="28"/>
          <w:szCs w:val="28"/>
          <w:lang w:val="nb-NO"/>
        </w:rPr>
        <w:lastRenderedPageBreak/>
        <w:t>Jennings v. Lee</w:t>
      </w:r>
      <w:r w:rsidRPr="00F83553">
        <w:rPr>
          <w:rFonts w:asciiTheme="majorHAnsi" w:hAnsiTheme="majorHAnsi" w:cstheme="majorHAnsi"/>
          <w:color w:val="000000" w:themeColor="text1"/>
          <w:sz w:val="28"/>
          <w:szCs w:val="28"/>
          <w:lang w:val="nb-NO"/>
        </w:rPr>
        <w:t>, 105 Ariz. 167, 461 P.2d 161 (1969)</w:t>
      </w:r>
      <w:bookmarkEnd w:id="5"/>
    </w:p>
    <w:p w:rsidR="00E257D7" w:rsidRPr="00802649" w:rsidRDefault="00E257D7" w:rsidP="003F1E1E">
      <w:pPr>
        <w:rPr>
          <w:rFonts w:asciiTheme="majorHAnsi" w:hAnsiTheme="majorHAnsi" w:cstheme="majorHAnsi"/>
          <w:i/>
          <w:color w:val="FF0000"/>
          <w:sz w:val="24"/>
          <w:szCs w:val="24"/>
          <w:lang w:val="nb-NO"/>
        </w:rPr>
      </w:pPr>
    </w:p>
    <w:p w:rsidR="00E257D7" w:rsidRPr="00F83553" w:rsidRDefault="00E257D7" w:rsidP="003F1E1E">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Part of fiduciary duty is to make a complete and full disclosure of all known material facts that might affect the client’s decision to sell or buy a property.</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buyer traded a parcel of land for an operating restaurant.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acted as a dual agent in the transaction, representing both parties.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seller was aware the restaurant was not generating enough income to be sustainable.</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saw copies of at least two different income statements for the restaurant, provided by the seller.</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income statement the broker showed to the buyer reflected inflated figures almost five times the actual profit.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When the buyer voiced her concern that she should have her attorney review the transaction, the broker discouraged her from doing so.</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Two months after the transaction was completed, the buyer realized the discrepancy in income and filed suit against the broker and seller, seeking rescission of the contract.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ultimately granted the buyer’s request for rescission and found that the elements necessary to establish fraud on the part of the seller were present.</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In regards to the actions of the broker, the court found he had breached his fiduciary duty by showing the buyer the false operating statement and failing to disclose his knowledge of the correct statement, which he had in his possession.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court’s decision highlighted the broker’s duty to disclose to his client information in his possession pertaining to the transaction.</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6" w:name="_Toc190850887"/>
      <w:r w:rsidRPr="00F83553">
        <w:rPr>
          <w:rFonts w:asciiTheme="majorHAnsi" w:hAnsiTheme="majorHAnsi" w:cstheme="majorHAnsi"/>
          <w:i/>
          <w:color w:val="000000" w:themeColor="text1"/>
          <w:sz w:val="28"/>
          <w:szCs w:val="28"/>
        </w:rPr>
        <w:lastRenderedPageBreak/>
        <w:t>Morley v. J. Pagel Realty &amp; Insurance</w:t>
      </w:r>
      <w:r w:rsidRPr="00F83553">
        <w:rPr>
          <w:rFonts w:asciiTheme="majorHAnsi" w:hAnsiTheme="majorHAnsi" w:cstheme="majorHAnsi"/>
          <w:color w:val="000000" w:themeColor="text1"/>
          <w:sz w:val="28"/>
          <w:szCs w:val="28"/>
        </w:rPr>
        <w:t>, 27 Ariz. App. 62, 550 P.2d 1104 (1976)</w:t>
      </w:r>
      <w:bookmarkEnd w:id="6"/>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 accepted an offer presented by the listing broker that provided for carryback financing but no deed of trust.</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After COE, the buyers deeded the property to a third party for cash.</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buyers subsequently defaulted on the note and filed for bankruptcy.</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sellers sued their broker for failing to inform them they should have required the buyer to execute a deed of trust, which could have been recorded to secure the buyers’ performance.</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The broker had a duty to </w:t>
      </w:r>
      <w:r w:rsidR="00E248E3" w:rsidRPr="00F83553">
        <w:rPr>
          <w:rFonts w:asciiTheme="majorHAnsi" w:hAnsiTheme="majorHAnsi" w:cstheme="majorHAnsi"/>
          <w:b/>
          <w:i/>
          <w:vanish/>
          <w:color w:val="FF0000"/>
          <w:sz w:val="24"/>
          <w:szCs w:val="24"/>
        </w:rPr>
        <w:t>affect</w:t>
      </w:r>
      <w:r w:rsidRPr="00F83553">
        <w:rPr>
          <w:rFonts w:asciiTheme="majorHAnsi" w:hAnsiTheme="majorHAnsi" w:cstheme="majorHAnsi"/>
          <w:b/>
          <w:i/>
          <w:vanish/>
          <w:color w:val="FF0000"/>
          <w:sz w:val="24"/>
          <w:szCs w:val="24"/>
        </w:rPr>
        <w:t xml:space="preserve"> a sale for the client on the best terms possible.</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had a duty to disclose to the client all information the broker possessed pertaining to the transaction.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was obligated to inform the sellers they should require security for carryback.</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 broker should make all explanations commensurate with the education and understanding of the client and, if the broker can’t give competent advice, should allow the client the opportunity to obtain advice elsewhere.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7" w:name="_Toc190850888"/>
      <w:r w:rsidRPr="00F83553">
        <w:rPr>
          <w:rFonts w:asciiTheme="majorHAnsi" w:hAnsiTheme="majorHAnsi" w:cstheme="majorHAnsi"/>
          <w:i/>
          <w:color w:val="000000" w:themeColor="text1"/>
          <w:sz w:val="28"/>
          <w:szCs w:val="28"/>
        </w:rPr>
        <w:lastRenderedPageBreak/>
        <w:t>Mason v. Bulleri</w:t>
      </w:r>
      <w:r w:rsidRPr="00F83553">
        <w:rPr>
          <w:rFonts w:asciiTheme="majorHAnsi" w:hAnsiTheme="majorHAnsi" w:cstheme="majorHAnsi"/>
          <w:color w:val="000000" w:themeColor="text1"/>
          <w:sz w:val="28"/>
          <w:szCs w:val="28"/>
        </w:rPr>
        <w:t>, 25 Ariz. App. 357, 543 P.2d 478 (1975)</w:t>
      </w:r>
      <w:bookmarkEnd w:id="7"/>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sellers entered into a contract for the sale of their home calling for an initial deposit and down payment from the buyers, with the remainder to be paid as a lump sum within the next two years.  The court contended that the “language of the contract contemplated the retention by the sellers of a security interest in the property.”</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buyers told the listing broker the balance would have to be unsecured, as they would have to mortgage the home to come up with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did not disclose this information to the sellers, instead advising them that a deposit was in place and the buyers had sufficient cash to make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had the buyers fill out two different offers for different amounts, both lower than the asking price.  He presented the lower offer to the sellers without advising them of the existence of the higher offer.</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At some point, the sellers refused to proceed with the sale.  The broker proceeded to file suit against the sellers to force the payment of claimed commission.</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denied the broker’s claim for any commission.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it is the broker’s duty to deal with his principal in good faith and disclose any information he has concerning the buyer’s ability to complete the purchase</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To the above-stated issue, the court found that the broker had seriously breached his fiduciary duty by failing to disclose that, although the contract provided for the sellers to retain a security interest in the property, the buyers had represented they would be unable to complete the purchase if the sellers retained that security interest.</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also stated that the broker additionally breached his fiduciary duty to his client by presenting the lower offer and failing to disclose that the buyers were willing to pay a higher price.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8" w:name="_Toc190850889"/>
      <w:r w:rsidRPr="00F83553">
        <w:rPr>
          <w:rFonts w:asciiTheme="majorHAnsi" w:hAnsiTheme="majorHAnsi" w:cstheme="majorHAnsi"/>
          <w:i/>
          <w:color w:val="000000" w:themeColor="text1"/>
          <w:sz w:val="28"/>
          <w:szCs w:val="28"/>
        </w:rPr>
        <w:lastRenderedPageBreak/>
        <w:t>Kimmel v. Clark</w:t>
      </w:r>
      <w:r w:rsidRPr="00F83553">
        <w:rPr>
          <w:rFonts w:asciiTheme="majorHAnsi" w:hAnsiTheme="majorHAnsi" w:cstheme="majorHAnsi"/>
          <w:color w:val="000000" w:themeColor="text1"/>
          <w:sz w:val="28"/>
          <w:szCs w:val="28"/>
        </w:rPr>
        <w:t>, 21 Ariz. App. 455, 520 P.2d 851 (1974)</w:t>
      </w:r>
      <w:bookmarkEnd w:id="8"/>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seller entered into a listing agreement with a broker to sell her home.</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listing broker produced a buyer with whom a satisfactory purchase agreement could not be reached.</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then produced another buyer who agreed to purchase the property for the listed price and produced a $1,000 check as a deposit.</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It turned out that the buyers were ‘straw men’ and were actually the son and daughter-in-law of the broker, a fact she did not disclose to the seller.</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sued the seller for claimed commission, arguing she had produced a ready, willing and able buyer under the terms of the listing agreement.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trial court found in favor of the seller and that decision was upheld on appeal.</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“a broker employed to sell property may not, without the principal’s full knowledge and consent, become the purchaser.”</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found a fiduciary relationship existed between the broker and the seller and had clearly been breached by the broker for failing to disclose her relationship with the buyers.</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it-IT"/>
        </w:rPr>
      </w:pPr>
      <w:bookmarkStart w:id="9" w:name="_Toc190850890"/>
      <w:r w:rsidRPr="00F83553">
        <w:rPr>
          <w:rFonts w:asciiTheme="majorHAnsi" w:hAnsiTheme="majorHAnsi" w:cstheme="majorHAnsi"/>
          <w:i/>
          <w:color w:val="000000" w:themeColor="text1"/>
          <w:sz w:val="28"/>
          <w:szCs w:val="28"/>
          <w:lang w:val="it-IT"/>
        </w:rPr>
        <w:lastRenderedPageBreak/>
        <w:t>Lombardo v. Albu</w:t>
      </w:r>
      <w:r w:rsidRPr="00F83553">
        <w:rPr>
          <w:rFonts w:asciiTheme="majorHAnsi" w:hAnsiTheme="majorHAnsi" w:cstheme="majorHAnsi"/>
          <w:color w:val="000000" w:themeColor="text1"/>
          <w:sz w:val="28"/>
          <w:szCs w:val="28"/>
          <w:lang w:val="it-IT"/>
        </w:rPr>
        <w:t>, 199 Ariz. 97, 14 P.3d 288 (2000)</w:t>
      </w:r>
      <w:bookmarkEnd w:id="9"/>
    </w:p>
    <w:p w:rsidR="00E257D7" w:rsidRPr="00802649" w:rsidRDefault="00E257D7" w:rsidP="003F1E1E">
      <w:pPr>
        <w:rPr>
          <w:rFonts w:asciiTheme="majorHAnsi" w:hAnsiTheme="majorHAnsi" w:cstheme="majorHAnsi"/>
          <w:b/>
          <w:sz w:val="24"/>
          <w:szCs w:val="24"/>
          <w:lang w:val="it-IT"/>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in default on their loan, entered into a loan agreement with their lender to list and sell their home to pay the loan.  They proceeded to list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Another broker, representing the buyer, presented an offer to the listing broker, which was accepted.</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Prior to presenting the offer, the buyer’s broker was told by the buyer that her husband had serious financial problems and had filed for bankruptcy.  The wife hoped to avoid discovery of this fact by making an offer in her name only.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buyer’s broker did not disclose to the sellers that the wife was not an “able” buyer or might be unable to perform.</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Had the sellers been aware of the situation, they would have sought other conditions in the contract, such as the right to keep the property on the market.</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After several delays in closing, the buyer was unable to close on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ultimately lost their equity in the home when it was sold at a trustee’s sale.</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filed suit against the other parties involved, claiming negligent misrepresentation on the part of the buyer’s broker.</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After the trial and appellate courts held that the buyer’s financial information was confidential and the buyer’s broker had no duty to disclose it to the seller, the case was eventually heard by the Arizona Supreme Court, who reversed the 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stated that a covenant of good faith and fair dealing exists as a legal duty between buyers and sellers, which requires them to disclose facts material to the transaction.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cited the Restatement (Second) of Agency §348(e), which states:</w:t>
      </w:r>
    </w:p>
    <w:p w:rsidR="00E257D7" w:rsidRPr="00802649" w:rsidRDefault="00E257D7" w:rsidP="003F1E1E">
      <w:pPr>
        <w:pStyle w:val="ListParagraph"/>
        <w:ind w:left="1440"/>
        <w:rPr>
          <w:rFonts w:asciiTheme="majorHAnsi" w:hAnsiTheme="majorHAnsi" w:cstheme="majorHAnsi"/>
          <w:color w:val="FF0000"/>
          <w:sz w:val="24"/>
          <w:szCs w:val="24"/>
        </w:rPr>
      </w:pPr>
    </w:p>
    <w:p w:rsidR="00E257D7" w:rsidRPr="00F83553" w:rsidRDefault="00E257D7" w:rsidP="00F83553">
      <w:pPr>
        <w:ind w:left="900"/>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rsidR="00E257D7" w:rsidRPr="00802649" w:rsidRDefault="00E257D7" w:rsidP="003F1E1E">
      <w:pPr>
        <w:pStyle w:val="ListParagraph"/>
        <w:ind w:left="1440"/>
        <w:rPr>
          <w:rFonts w:asciiTheme="majorHAnsi" w:hAnsiTheme="majorHAnsi" w:cstheme="majorHAnsi"/>
          <w:sz w:val="24"/>
          <w:szCs w:val="24"/>
        </w:rPr>
      </w:pP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further stated that “the performance of an agent’s fiduciary duty to its principal is compatible with the agent’s duty to deal fairly with all parties to the transaction.”</w:t>
      </w: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To the argument of confidentiality, the court stated that even if the information was confidential, the Restatement (Second) of Agency §395 allows an agent to disclose confidential information if doing so is necessary to protect themselves or a third party. </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A27310" w:rsidRDefault="00E257D7" w:rsidP="00D41486">
      <w:pPr>
        <w:pStyle w:val="Heading2"/>
        <w:rPr>
          <w:rFonts w:asciiTheme="majorHAnsi" w:hAnsiTheme="majorHAnsi" w:cstheme="majorHAnsi"/>
          <w:color w:val="auto"/>
          <w:sz w:val="28"/>
          <w:szCs w:val="28"/>
        </w:rPr>
      </w:pPr>
      <w:bookmarkStart w:id="10" w:name="_Toc190850891"/>
      <w:r w:rsidRPr="00A27310">
        <w:rPr>
          <w:rFonts w:asciiTheme="majorHAnsi" w:hAnsiTheme="majorHAnsi" w:cstheme="majorHAnsi"/>
          <w:i/>
          <w:color w:val="auto"/>
          <w:sz w:val="28"/>
          <w:szCs w:val="28"/>
        </w:rPr>
        <w:lastRenderedPageBreak/>
        <w:t>Aranki v. RKP Investments, Inc.</w:t>
      </w:r>
      <w:r w:rsidRPr="00A27310">
        <w:rPr>
          <w:rFonts w:asciiTheme="majorHAnsi" w:hAnsiTheme="majorHAnsi" w:cstheme="majorHAnsi"/>
          <w:color w:val="auto"/>
          <w:sz w:val="28"/>
          <w:szCs w:val="28"/>
        </w:rPr>
        <w:t>, 194 Ariz. 206, 979 P.2d 534 (App. 1999)</w:t>
      </w:r>
      <w:bookmarkEnd w:id="10"/>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sellers listed their home with a broker.  They did not disclose any material defects in the property to the listing broker.</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buyers, represented by their broker, purchased the property.</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After closing, the buyers discovered defects in the property that were not disclosed to them prior to the sale.</w:t>
      </w:r>
    </w:p>
    <w:p w:rsidR="00A94476" w:rsidRPr="0010182B" w:rsidRDefault="00A94476" w:rsidP="003120B8">
      <w:pPr>
        <w:pStyle w:val="ListParagraph"/>
        <w:numPr>
          <w:ilvl w:val="0"/>
          <w:numId w:val="9"/>
        </w:numPr>
        <w:rPr>
          <w:rFonts w:ascii="Arial" w:hAnsi="Arial" w:cs="Arial"/>
          <w:sz w:val="24"/>
          <w:szCs w:val="24"/>
        </w:rPr>
      </w:pPr>
      <w:r w:rsidRPr="0010182B">
        <w:rPr>
          <w:rFonts w:ascii="Arial" w:hAnsi="Arial" w:cs="Arial"/>
          <w:sz w:val="24"/>
          <w:szCs w:val="24"/>
        </w:rPr>
        <w:t xml:space="preserve">The buyers proceeded to file suit against the sellers, </w:t>
      </w:r>
      <w:r>
        <w:rPr>
          <w:rFonts w:ascii="Arial" w:hAnsi="Arial" w:cs="Arial"/>
          <w:sz w:val="24"/>
          <w:szCs w:val="24"/>
        </w:rPr>
        <w:t xml:space="preserve">and also against </w:t>
      </w:r>
      <w:r w:rsidRPr="0010182B">
        <w:rPr>
          <w:rFonts w:ascii="Arial" w:hAnsi="Arial" w:cs="Arial"/>
          <w:sz w:val="24"/>
          <w:szCs w:val="24"/>
        </w:rPr>
        <w:t>the listing broker</w:t>
      </w:r>
      <w:r>
        <w:rPr>
          <w:rFonts w:ascii="Arial" w:hAnsi="Arial" w:cs="Arial"/>
          <w:sz w:val="24"/>
          <w:szCs w:val="24"/>
        </w:rPr>
        <w:t xml:space="preserve"> (by way of warranty and fraud claims), and the buyers’ broker (by way of negligent misrepresentation claims)</w:t>
      </w:r>
      <w:r w:rsidRPr="0010182B">
        <w:rPr>
          <w:rFonts w:ascii="Arial" w:hAnsi="Arial" w:cs="Arial"/>
          <w:sz w:val="24"/>
          <w:szCs w:val="24"/>
        </w:rPr>
        <w: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After a trial court found in favor of the defendants, the plaintiffs appealed the 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appellate court reversed the judgment in favor of the plaintiffs (appellants) regarding the buyers’ brokers and the sellers.</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As to the listing broker, the appellate court affirmed the trial court’s judgment that the facts did not support the claim of negligent misrepresentation.</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F1E1E">
      <w:pPr>
        <w:pStyle w:val="ListParagraph"/>
        <w:rPr>
          <w:rFonts w:asciiTheme="majorHAnsi" w:hAnsiTheme="majorHAnsi" w:cstheme="majorHAnsi"/>
          <w:b/>
          <w:vanish/>
          <w:color w:val="FF0000"/>
          <w:sz w:val="24"/>
          <w:szCs w:val="24"/>
        </w:rPr>
      </w:pPr>
      <w:r w:rsidRPr="00A27310">
        <w:rPr>
          <w:rFonts w:asciiTheme="majorHAnsi" w:hAnsiTheme="majorHAnsi" w:cstheme="majorHAnsi"/>
          <w:b/>
          <w:vanish/>
          <w:color w:val="FF0000"/>
          <w:sz w:val="24"/>
          <w:szCs w:val="24"/>
        </w:rPr>
        <w:t>Regarding the Listing Broker:</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stated that while the listing broker owed a fiduciary duty to his clients, the sellers, his only duty to the buyers was to deal fairly with them.</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Supporting the duty of fair dealing, the court found the listing broker had no knowledge of the property defects and no duty to perform any investigations to discover defects not readily apparent.  </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41486">
      <w:pPr>
        <w:pStyle w:val="Heading2"/>
        <w:rPr>
          <w:rFonts w:asciiTheme="majorHAnsi" w:hAnsiTheme="majorHAnsi" w:cstheme="majorHAnsi"/>
          <w:sz w:val="28"/>
          <w:szCs w:val="28"/>
        </w:rPr>
      </w:pPr>
      <w:bookmarkStart w:id="11" w:name="_Toc190850892"/>
      <w:r w:rsidRPr="00802649">
        <w:rPr>
          <w:rFonts w:asciiTheme="majorHAnsi" w:hAnsiTheme="majorHAnsi" w:cstheme="majorHAnsi"/>
          <w:sz w:val="28"/>
          <w:szCs w:val="28"/>
        </w:rPr>
        <w:lastRenderedPageBreak/>
        <w:t>Segment Conclusion</w:t>
      </w:r>
      <w:bookmarkEnd w:id="11"/>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is the main difference between the different disclosures required for clients vs. nonclients?</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While you must make full and complete disclosure to your principal, you only owe the duty of good faith and fair dealing to nonclients.</w:t>
      </w:r>
    </w:p>
    <w:p w:rsidR="00E257D7" w:rsidRPr="00802649" w:rsidRDefault="00E257D7" w:rsidP="00D41486">
      <w:pPr>
        <w:rPr>
          <w:rFonts w:asciiTheme="majorHAnsi" w:hAnsiTheme="majorHAnsi" w:cstheme="majorHAnsi"/>
          <w:color w:val="FF0000"/>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In what type of situation might you incur risk for passing along information to a buyer obtained from your seller?</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If you have reason to believe the information is false or you have witnessed evidence indicating the information is false.</w:t>
      </w:r>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should you do if your client requests information regarding a transaction beyond the scope of your expertise?</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Recommend they obtain advice from a qualified professional.</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A27310" w:rsidRDefault="00E257D7" w:rsidP="00602158">
      <w:pPr>
        <w:pStyle w:val="Heading2"/>
        <w:rPr>
          <w:rFonts w:asciiTheme="majorHAnsi" w:hAnsiTheme="majorHAnsi" w:cstheme="majorHAnsi"/>
          <w:color w:val="auto"/>
          <w:sz w:val="28"/>
          <w:szCs w:val="28"/>
        </w:rPr>
      </w:pPr>
      <w:bookmarkStart w:id="12" w:name="_Toc190850893"/>
      <w:r w:rsidRPr="00A27310">
        <w:rPr>
          <w:rFonts w:asciiTheme="majorHAnsi" w:hAnsiTheme="majorHAnsi" w:cstheme="majorHAnsi"/>
          <w:color w:val="auto"/>
          <w:sz w:val="28"/>
          <w:szCs w:val="28"/>
        </w:rPr>
        <w:lastRenderedPageBreak/>
        <w:t>Broker Disclosure List</w:t>
      </w:r>
      <w:bookmarkEnd w:id="12"/>
    </w:p>
    <w:p w:rsidR="00802649" w:rsidRPr="00A27310" w:rsidRDefault="00802649" w:rsidP="00802649"/>
    <w:p w:rsidR="00E257D7" w:rsidRPr="00802649" w:rsidRDefault="00E257D7" w:rsidP="00602158">
      <w:pPr>
        <w:rPr>
          <w:rFonts w:asciiTheme="majorHAnsi" w:hAnsiTheme="majorHAnsi" w:cstheme="majorHAnsi"/>
          <w:sz w:val="24"/>
          <w:szCs w:val="24"/>
        </w:rPr>
      </w:pPr>
      <w:r w:rsidRPr="00802649">
        <w:rPr>
          <w:rFonts w:asciiTheme="majorHAnsi" w:hAnsiTheme="majorHAnsi" w:cstheme="majorHAnsi"/>
          <w:sz w:val="24"/>
          <w:szCs w:val="24"/>
        </w:rPr>
        <w:t xml:space="preserve">Disclosure obligations imposed by common law are reflected by the ADRE Commissioner’s Rules.  </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Seller Clients:</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All offers (R4-28-802(B))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Any known information that the buyer is or may be unable to perform (R4-28-1101(B))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buyer (R4-28-1101(E))</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Buyer Clients:</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All known defects existing in the property (R4-28-1101(B)(3))</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Any known information that the seller is or may be unable to perform (R4-28-1101(B)(1))</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The possible existence of a known lien or encumbrance on the property (R4-28-1101(B)(4))</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seller (R4-28-1101(E))</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A27310" w:rsidRDefault="00E257D7" w:rsidP="00021EC2">
      <w:pPr>
        <w:pStyle w:val="Heading1"/>
        <w:rPr>
          <w:rFonts w:asciiTheme="majorHAnsi" w:hAnsiTheme="majorHAnsi" w:cstheme="majorHAnsi"/>
          <w:color w:val="auto"/>
          <w:sz w:val="32"/>
          <w:szCs w:val="32"/>
        </w:rPr>
      </w:pPr>
      <w:bookmarkStart w:id="13" w:name="_Toc190850894"/>
      <w:r w:rsidRPr="00A27310">
        <w:rPr>
          <w:rFonts w:asciiTheme="majorHAnsi" w:hAnsiTheme="majorHAnsi" w:cstheme="majorHAnsi"/>
          <w:color w:val="auto"/>
          <w:sz w:val="32"/>
          <w:szCs w:val="32"/>
        </w:rPr>
        <w:lastRenderedPageBreak/>
        <w:t>Unit 1, Segment 2: Seller Disclosures</w:t>
      </w:r>
      <w:bookmarkEnd w:id="13"/>
    </w:p>
    <w:p w:rsidR="00E257D7" w:rsidRPr="00802649" w:rsidRDefault="00E257D7" w:rsidP="00021EC2">
      <w:pPr>
        <w:rPr>
          <w:rFonts w:asciiTheme="majorHAnsi" w:hAnsiTheme="majorHAnsi" w:cstheme="majorHAnsi"/>
          <w:sz w:val="24"/>
          <w:szCs w:val="24"/>
        </w:rPr>
      </w:pPr>
    </w:p>
    <w:p w:rsidR="00E257D7" w:rsidRPr="00A27310" w:rsidRDefault="00E257D7" w:rsidP="00021EC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 approximately 15-20 minutes for each case</w:t>
      </w:r>
    </w:p>
    <w:p w:rsidR="00E257D7" w:rsidRPr="00802649" w:rsidRDefault="00E257D7" w:rsidP="00021EC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0"/>
        </w:numPr>
        <w:rPr>
          <w:rFonts w:asciiTheme="majorHAnsi" w:hAnsiTheme="majorHAnsi" w:cstheme="majorHAnsi"/>
          <w:b/>
          <w:sz w:val="24"/>
          <w:szCs w:val="24"/>
        </w:rPr>
      </w:pPr>
      <w:r w:rsidRPr="00802649">
        <w:rPr>
          <w:rFonts w:asciiTheme="majorHAnsi" w:hAnsiTheme="majorHAnsi" w:cstheme="majorHAnsi"/>
          <w:sz w:val="24"/>
          <w:szCs w:val="24"/>
        </w:rPr>
        <w:t xml:space="preserve">To identify required seller disclosures as required by common law </w:t>
      </w:r>
    </w:p>
    <w:p w:rsidR="00E257D7" w:rsidRPr="00802649" w:rsidRDefault="00E257D7" w:rsidP="00D730FD">
      <w:pPr>
        <w:pStyle w:val="ListParagraph"/>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sellers failing to make the required disclosures?</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 associated with fraud and misrepresentation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Rescission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sz w:val="24"/>
          <w:szCs w:val="24"/>
        </w:rPr>
        <w:t>Sellers have certain common law duties to disclose material facts about a property.  In some cases, they have a duty to disclose property conditions regardless of whether or not they consider them material.  The following cases highlight some important disclosures required under common law.</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i/>
          <w:sz w:val="24"/>
          <w:szCs w:val="24"/>
        </w:rPr>
        <w:t>Note:</w:t>
      </w:r>
      <w:r w:rsidRPr="00802649">
        <w:rPr>
          <w:rFonts w:asciiTheme="majorHAnsi" w:hAnsiTheme="majorHAnsi" w:cstheme="majorHAnsi"/>
          <w:sz w:val="24"/>
          <w:szCs w:val="24"/>
        </w:rPr>
        <w:t xml:space="preserve"> Specific disclosures required by Arizona statute will be covered in Segment 4.</w:t>
      </w:r>
    </w:p>
    <w:p w:rsidR="00E257D7" w:rsidRPr="00802649" w:rsidRDefault="00E257D7" w:rsidP="00DC5382">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4" w:name="_Toc190850895"/>
      <w:r w:rsidRPr="00A27310">
        <w:rPr>
          <w:rFonts w:asciiTheme="majorHAnsi" w:hAnsiTheme="majorHAnsi" w:cstheme="majorHAnsi"/>
          <w:i/>
          <w:color w:val="auto"/>
          <w:sz w:val="28"/>
          <w:szCs w:val="28"/>
        </w:rPr>
        <w:lastRenderedPageBreak/>
        <w:t>Hill v. Jones</w:t>
      </w:r>
      <w:r w:rsidRPr="00A27310">
        <w:rPr>
          <w:rFonts w:asciiTheme="majorHAnsi" w:hAnsiTheme="majorHAnsi" w:cstheme="majorHAnsi"/>
          <w:color w:val="auto"/>
          <w:sz w:val="28"/>
          <w:szCs w:val="28"/>
        </w:rPr>
        <w:t>, 151 Ariz. 81, 725 P.2d 1115 (App. 1986)</w:t>
      </w:r>
      <w:bookmarkEnd w:id="14"/>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buyers and sellers entered into a contract for a home with a wood floor.</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sellers disclosed no past termite damage and the termite report indicated no visible evidence of infestation or previous treatment.</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After close of escrow, the buyers learned from a neighbor that the house had past termite infestation.  The buyers also discovered part of the wood floor was crumbling.</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termite inspector had not seen the treatment holes in the patio because of stacked boxes and did not find the termite damage inside because a large plant covered the area.</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When the buyers filed suit against the sellers, they discovered the sellers had received two termite guarantees from the previous owner, had treated the house twice for termites and that the existing termite damage had not been repaired.</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found the seller had duty to disclose known facts to the buyer.</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delineated a seller’s duty to disclose known facts materially affecting the value of a property that are not readily observable and are not known to buyers.</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The court further stated that under certain circumstances, nondisclosure of a known fact may be equivalent to the assertion the fact does not exist and, therefore, may be given the same legal effect as fraud and misrepresentation. </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5" w:name="_Toc190850896"/>
      <w:r w:rsidRPr="00A27310">
        <w:rPr>
          <w:rFonts w:asciiTheme="majorHAnsi" w:hAnsiTheme="majorHAnsi" w:cstheme="majorHAnsi"/>
          <w:i/>
          <w:color w:val="auto"/>
          <w:sz w:val="28"/>
          <w:szCs w:val="28"/>
        </w:rPr>
        <w:lastRenderedPageBreak/>
        <w:t>Universal Inv. Co. v. Sahara Motor Inn, Inc.</w:t>
      </w:r>
      <w:r w:rsidRPr="00A27310">
        <w:rPr>
          <w:rFonts w:asciiTheme="majorHAnsi" w:hAnsiTheme="majorHAnsi" w:cstheme="majorHAnsi"/>
          <w:color w:val="auto"/>
          <w:sz w:val="28"/>
          <w:szCs w:val="28"/>
        </w:rPr>
        <w:t>, 127 Ariz. 213, 215, 619 P.2d 485, 487 (1980)</w:t>
      </w:r>
      <w:bookmarkEnd w:id="15"/>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The buyer purchased a motel from the seller “as is.”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Prior to the sale, the buyer inspected and approved the premises.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After closing, the buyer learned</w:t>
      </w:r>
      <w:r w:rsidR="00A94476">
        <w:rPr>
          <w:rFonts w:asciiTheme="majorHAnsi" w:hAnsiTheme="majorHAnsi" w:cstheme="majorHAnsi"/>
          <w:sz w:val="24"/>
          <w:szCs w:val="24"/>
        </w:rPr>
        <w:t xml:space="preserve"> from the City of Tucson that</w:t>
      </w:r>
      <w:r w:rsidRPr="00802649">
        <w:rPr>
          <w:rFonts w:asciiTheme="majorHAnsi" w:hAnsiTheme="majorHAnsi" w:cstheme="majorHAnsi"/>
          <w:sz w:val="24"/>
          <w:szCs w:val="24"/>
        </w:rPr>
        <w:t xml:space="preserve"> the motel’s electrical system was in violation of city code and stopped making payments on the note.</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 xml:space="preserve">The seller sued for the amount of the note on the property. </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What can be interpreted from the decision is that, if the buyer asks the seller about an aspect of the property, the seller has a duty to disclose the information, whether or not the seller considers the information material.</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In this case, the court stated that an inquiry about the condition of the electrical system would have required the seller to disclose all they knew; however, no such inquiry was made.  Therefore, the seller was not held liable for the electrical problems.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6" w:name="_Toc190850897"/>
      <w:r w:rsidRPr="00A27310">
        <w:rPr>
          <w:rFonts w:asciiTheme="majorHAnsi" w:hAnsiTheme="majorHAnsi" w:cstheme="majorHAnsi"/>
          <w:i/>
          <w:color w:val="auto"/>
          <w:sz w:val="28"/>
          <w:szCs w:val="28"/>
        </w:rPr>
        <w:lastRenderedPageBreak/>
        <w:t>S. Development Corp. v. Pima Capital Management Co.</w:t>
      </w:r>
      <w:r w:rsidRPr="00A27310">
        <w:rPr>
          <w:rFonts w:asciiTheme="majorHAnsi" w:hAnsiTheme="majorHAnsi" w:cstheme="majorHAnsi"/>
          <w:color w:val="auto"/>
          <w:sz w:val="28"/>
          <w:szCs w:val="28"/>
        </w:rPr>
        <w:t>, 201 Ariz. 10, 31 P.3d 123 (App. 2002)</w:t>
      </w:r>
      <w:bookmarkEnd w:id="16"/>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purchased two apartment complexes from the sellers.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sellers made no warranties and the properties were purchased “as is.”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had two engineering firms inspect the property, which revealed no substantial problems with the plumbing.</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Two years after the sale closed, the buyer discovered the property had defective plumbing due to the polybutylene pipe used in both buildings.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sued the sellers for fraud and nondisclosure for failing to disclose the defective plumbing.</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trial court ruled in favor of the buyer (plaintiff) and the decision was upheld by the appellate court.</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held that known latent defects in a property must be disclosed, regardless of whether the property is being sold “as is.”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13E77">
      <w:pPr>
        <w:pStyle w:val="Heading1"/>
        <w:rPr>
          <w:rFonts w:asciiTheme="majorHAnsi" w:hAnsiTheme="majorHAnsi" w:cstheme="majorHAnsi"/>
          <w:color w:val="auto"/>
          <w:sz w:val="32"/>
          <w:szCs w:val="32"/>
        </w:rPr>
      </w:pPr>
      <w:bookmarkStart w:id="17" w:name="_Toc190850898"/>
      <w:r w:rsidRPr="00A27310">
        <w:rPr>
          <w:rFonts w:asciiTheme="majorHAnsi" w:hAnsiTheme="majorHAnsi" w:cstheme="majorHAnsi"/>
          <w:color w:val="auto"/>
          <w:sz w:val="32"/>
          <w:szCs w:val="32"/>
        </w:rPr>
        <w:lastRenderedPageBreak/>
        <w:t>Unit 1, Segment 3: Buyer Disclosures</w:t>
      </w:r>
      <w:bookmarkEnd w:id="17"/>
    </w:p>
    <w:p w:rsidR="00E257D7" w:rsidRPr="00802649" w:rsidRDefault="00E257D7" w:rsidP="00D13E77">
      <w:pPr>
        <w:rPr>
          <w:rFonts w:asciiTheme="majorHAnsi" w:hAnsiTheme="majorHAnsi" w:cstheme="majorHAnsi"/>
          <w:sz w:val="24"/>
          <w:szCs w:val="24"/>
        </w:rPr>
      </w:pPr>
    </w:p>
    <w:p w:rsidR="00E257D7" w:rsidRPr="00A27310" w:rsidRDefault="00E257D7" w:rsidP="00D13E77">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15 minutes total for this segment</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D13E77">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To identify items required to be disclosed by buyers in a transaction.</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buyers failing to make the required disclosures?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Failure to fulfill contractual obligations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Buyer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Because the major consideration flowing from the buyer to the seller is price, the buyer’s legally and contractually required disclosures generally center around their ability to perform on the contract.  Buyer disclosures include:</w:t>
      </w: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known facts materially affecting the transaction</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materially affecting the buyer’s ability to pay the purchase price</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critical to their ability to perform, such as if the buyer:</w:t>
      </w:r>
    </w:p>
    <w:p w:rsidR="00E257D7" w:rsidRPr="00802649" w:rsidRDefault="00E257D7" w:rsidP="00862BA2">
      <w:pPr>
        <w:pStyle w:val="ListParagraph"/>
        <w:rPr>
          <w:rFonts w:asciiTheme="majorHAnsi" w:hAnsiTheme="majorHAnsi" w:cstheme="majorHAnsi"/>
          <w:sz w:val="24"/>
          <w:szCs w:val="24"/>
        </w:rPr>
      </w:pP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sell their existing home or other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lease a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complete a sale before the funds for the down payment will be available</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Has filed bankruptcy</w:t>
      </w:r>
    </w:p>
    <w:p w:rsidR="00E257D7" w:rsidRPr="00802649" w:rsidRDefault="00E257D7" w:rsidP="00862BA2">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802649" w:rsidRDefault="002A3508" w:rsidP="00862BA2">
      <w:pPr>
        <w:pStyle w:val="Heading1"/>
        <w:rPr>
          <w:rFonts w:asciiTheme="majorHAnsi" w:hAnsiTheme="majorHAnsi" w:cstheme="majorHAnsi"/>
          <w:sz w:val="32"/>
          <w:szCs w:val="32"/>
        </w:rPr>
      </w:pPr>
      <w:bookmarkStart w:id="18" w:name="_Toc190850899"/>
      <w:r>
        <w:rPr>
          <w:rFonts w:asciiTheme="majorHAnsi" w:hAnsiTheme="majorHAnsi" w:cstheme="majorHAnsi"/>
          <w:sz w:val="32"/>
          <w:szCs w:val="32"/>
        </w:rPr>
        <w:lastRenderedPageBreak/>
        <w:t>Un</w:t>
      </w:r>
      <w:r w:rsidR="00E257D7" w:rsidRPr="00802649">
        <w:rPr>
          <w:rFonts w:asciiTheme="majorHAnsi" w:hAnsiTheme="majorHAnsi" w:cstheme="majorHAnsi"/>
          <w:sz w:val="32"/>
          <w:szCs w:val="32"/>
        </w:rPr>
        <w:t>it 1, Segment 4: Statutory Disclosures</w:t>
      </w:r>
      <w:bookmarkEnd w:id="18"/>
    </w:p>
    <w:p w:rsidR="00E257D7" w:rsidRPr="00802649" w:rsidRDefault="00E257D7" w:rsidP="00862BA2">
      <w:pPr>
        <w:rPr>
          <w:rFonts w:asciiTheme="majorHAnsi" w:hAnsiTheme="majorHAnsi" w:cstheme="majorHAnsi"/>
          <w:sz w:val="24"/>
          <w:szCs w:val="24"/>
        </w:rPr>
      </w:pP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specific disclosures required by Arizona statutes in accordance with federal regulations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statutory disclosures?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Civil liability </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Specific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Several specific disclosures are required by statute.  They are:</w:t>
      </w: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Lead-based Paint Disclosure</w:t>
      </w: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Required in transactions involving properties constructed prior to 1978.</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Before the buyer is obligated under any contract to purchase the property, the seller must:</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Provide the lead hazard pamphlet.</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Disclose any information concerning known hazards.</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 xml:space="preserve">Provide any available records or reports concerning lead-based paint. </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Permit the buyers with an opportunity to conduct a lead-based paint risk assessment or inspection.</w:t>
      </w:r>
    </w:p>
    <w:p w:rsidR="00E257D7" w:rsidRPr="00802649" w:rsidRDefault="00E257D7" w:rsidP="00862BA2">
      <w:pPr>
        <w:pStyle w:val="ListParagraph"/>
        <w:ind w:left="1485"/>
        <w:rPr>
          <w:rFonts w:asciiTheme="majorHAnsi" w:hAnsiTheme="majorHAnsi" w:cstheme="majorHAnsi"/>
          <w:sz w:val="24"/>
          <w:szCs w:val="24"/>
        </w:rPr>
      </w:pP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Contracts on homes constructed before 1978 must contain certain language and disclosures to satisfy the statutory requirements.  The AAR Disclosure of Information on Lead-based Paint Hazards form may be used for this purpose.</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LBP Disclosure?</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lastRenderedPageBreak/>
        <w:t>Possible criminal sanctions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Can the LBP Disclosure be completed after contract acceptance?</w:t>
      </w: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Yes, although it is always best to provide the buyer with the disclosure before a contract is executed, if at all possible.  This issue is addressed by HUD and the EPA in Part III of the Interpretive Guidance for the Real Estate Community on the Requirements for Disclosure of Information Concerning Lead-based Paint in Housing.  The Interpretive Guidance confirms the disclosure information can be provided to the buyer after contract acceptance if the buyer has the unilateral right to cancel the contract after receipt of the disclosures.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use of MLS electronic lead-based paint disclosures acceptable?</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the EPA has indicated this is acceptable as long as:</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receives and signs the completed lead-based paint disclosure form “before the point of obligation”; and</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buyer’s agent obtains a copy of the original disclosure form signed by the seller from the listing broker and attaches it to the form signed by the buyer.  The two forms must “add up” to a single completed form for the file.  In other words, it is permissible to get it signed in this manner but the brokers must still have a complete disclosure in the file signed by both parties.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penalties for violation?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There are procedures to determine the appropriate enforcement response outlined in the Guidelines for Assessments of Civil Penalties for Violations of the Disclosure Rule.  No warnings will be given; immediate civil penalties will be issued for violations.  In addition, a person who knowingly or willfully violates this law can be subject to criminal sanctions, including imprisonment for up to one year and criminal fines of $25,000 for each day of violation.</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properties are exempt from the LBP disclosure requirements?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Property constructed aft</w:t>
      </w:r>
      <w:r w:rsidR="00E248E3" w:rsidRPr="00802649">
        <w:rPr>
          <w:rFonts w:asciiTheme="majorHAnsi" w:hAnsiTheme="majorHAnsi" w:cstheme="majorHAnsi"/>
          <w:sz w:val="24"/>
          <w:szCs w:val="24"/>
        </w:rPr>
        <w:t>er 1978</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Housing for elderly (retirement communities composed of persons over the age of 62) or disabled housing unless a child under the age of six will reside therein</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Foreclosure transactions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Short-term leases (100 days or less where no renewal or extension can occur)</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Lease renewals where the disclosures were previously made and no new information since the initial disclosure was provided</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Purchase, sale or servicing of mortgages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Sale or lease of zero-bedroom dwellings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Swimming Pool Barrier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A.R.S. §36-1681(E) states that “A person on entering into an agreement to build a swimming pool or contained body of water or sell, rent or lease a dwelling with a swimming pool or contained body of water shall give the buyer, lessee or renter a notice explaining safety education and responsibilities of pool ownership as approved by the department of health services.”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Planned Community/Condominium Disclosure Information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Certain specific disclosures are required when the transaction involves a sale in planned communities/condominiums.  When the development has fewer than 50 units, the seller is required to make the required disclosures, providing the buyer with a number of items including:</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bylaws and rules of the association</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declaration CC&amp;Rs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Information related to fees and dues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Contact information for the association, including phone number, address, contact person, etc.</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association’s operating budget</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84DFD" w:rsidRPr="00802649" w:rsidRDefault="00D84DFD"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lastRenderedPageBreak/>
        <w:t>When the development has 50 or more units, these disclosures must be made by the association.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These disclosures must be made within 10 days of written receipt of the pending sale. (For sellers, this would mean within 10 days after contract acceptance.)</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Notice of Soil Remediation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If the seller has actual knowledge that the property has been subject to soil remediation, it must be disclosed in accordance with A.R.S. §33.434.01 and 49-701.02.  This means the seller knows “…the property has been used for the disposal of excavated soils which do not meet predetermined residential soil remediation levels or remediation standards for residential exposure assumptions…” A.R.S. §49-701.02(B).</w:t>
      </w: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Affidavit of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An Affidavit of Disclosure is required for sellers of five or fewer parcels of land, other than subdivided land, in an unincorporated area not located in a subdivision.</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Affidavit of Disclosure?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Seller failure to disclose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Rescission claims</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Broker liability for failure to advise seller of laws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time requirements?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seller is required to furnish the affidavit to the buyer at least seven days before the transfer of the property.</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Does this apply only to vacant land?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applies to all land sold in five or fewer parcels in an unincorporated area, whether improved, unimproved, vacant, residential or commercial.</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kind of information must be disclosed?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must address issues such as legal access, physical access, road maintenance, floods and floodplains, utilities and services, water, wells, septic systems, percolation tests, and zoning deficiencies.</w:t>
      </w: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if the seller does not know some of the required disclosure information?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Some of the items do not allow for an “unknown” response.  If the seller does not know or have access to the requested information, they should indicate that on the form and provide any necessary explanation on the explanation lines.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seller required to make any other disclosures?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a seller is still required to disclose all known material defects in addition to the statutory disclosures addressed in the affidavit.  In addition, if the information in the affidavit changes, a new affidavit must be recorded.</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action must a buyer take to rescind a transaction after receiving the affidavit?</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can rescind the transaction within five days of receipt of the affidavit.  Written notice of rescission from the buyer to the seller within the time period should be sufficient.</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Meth Lab (and other Dangerous Drug Lab) Disclosure</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Meth Lab Disclosure?</w:t>
      </w:r>
    </w:p>
    <w:p w:rsidR="00E257D7" w:rsidRPr="000E4D2F" w:rsidRDefault="00E257D7" w:rsidP="000E4D2F">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Civil and criminal penalties for noncompliance</w:t>
      </w: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is the Meth Lab Disclosure?</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A.R.S. §12-1000 requires property owners to clean up properties used as drug laboratories and disclose that the property has been used as a drug lab until clean-up is complete.  The statute applies to residential property, mobile homes, and recreational vehicles.</w:t>
      </w: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does the Meth Lab Disclosure require?</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Within five days after a buyer signs a contract to purchase the property, the seller must notify them in writing that methamphetamine, ecstasy or LSD was manufactured on the property or that an arrest was made pursuant to this law.  The buyer must acknowledge receipt of the notice and then has five days to cancel the contract.  The buyer may also cancel if the seller fails to comply with this requirement.</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Subdivision Disclosures/Public Reports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Sellers of new homes in subdivisions are required to provide the buyer with the Public Report and a chance to review it prior to signing a contract.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addressed by subdivision disclosures and Public Reports?</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disclose critical information regarding physical and environmental characteristics of the property</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 of property</w:t>
      </w:r>
    </w:p>
    <w:p w:rsidR="00E257D7" w:rsidRPr="00802649" w:rsidRDefault="00E257D7" w:rsidP="00862BA2">
      <w:pPr>
        <w:tabs>
          <w:tab w:val="left" w:pos="5460"/>
        </w:tabs>
        <w:rPr>
          <w:rFonts w:asciiTheme="majorHAnsi" w:hAnsiTheme="majorHAnsi" w:cstheme="majorHAnsi"/>
          <w:b/>
          <w:sz w:val="24"/>
          <w:szCs w:val="24"/>
        </w:rPr>
      </w:pPr>
      <w:r w:rsidRPr="00802649">
        <w:rPr>
          <w:rFonts w:asciiTheme="majorHAnsi" w:hAnsiTheme="majorHAnsi" w:cstheme="majorHAnsi"/>
          <w:b/>
          <w:sz w:val="24"/>
          <w:szCs w:val="24"/>
        </w:rPr>
        <w:t>What items are addressed in a Public Report?</w:t>
      </w:r>
      <w:r w:rsidRPr="00802649">
        <w:rPr>
          <w:rFonts w:asciiTheme="majorHAnsi" w:hAnsiTheme="majorHAnsi" w:cstheme="majorHAnsi"/>
          <w:b/>
          <w:sz w:val="24"/>
          <w:szCs w:val="24"/>
        </w:rPr>
        <w:tab/>
      </w:r>
    </w:p>
    <w:p w:rsidR="00E257D7" w:rsidRPr="00802649" w:rsidRDefault="00E257D7" w:rsidP="00862BA2">
      <w:pPr>
        <w:tabs>
          <w:tab w:val="left" w:pos="5460"/>
        </w:tabs>
        <w:rPr>
          <w:rFonts w:asciiTheme="majorHAnsi" w:hAnsiTheme="majorHAnsi" w:cstheme="majorHAnsi"/>
          <w:sz w:val="24"/>
          <w:szCs w:val="24"/>
        </w:rPr>
      </w:pPr>
      <w:r w:rsidRPr="00802649">
        <w:rPr>
          <w:rFonts w:asciiTheme="majorHAnsi" w:hAnsiTheme="majorHAnsi" w:cstheme="majorHAnsi"/>
          <w:sz w:val="24"/>
          <w:szCs w:val="24"/>
        </w:rPr>
        <w:t>The Public Report contains vital information about the subdivision, including:</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Identity of developer</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Physical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Environmental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Conditions limiting use or occupancy</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Road maintenance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HOA info</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Flooding and drainage issues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Adjacent land use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Location of gas pipelines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Vicinity to airports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Documentation of subdivision’s planned completion</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utilities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schools, shopping facilities, public transportation and emergency services</w:t>
      </w: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r w:rsidRPr="00802649">
        <w:rPr>
          <w:rFonts w:asciiTheme="majorHAnsi" w:hAnsiTheme="majorHAnsi" w:cstheme="majorHAnsi"/>
          <w:sz w:val="24"/>
          <w:szCs w:val="24"/>
        </w:rPr>
        <w:lastRenderedPageBreak/>
        <w:t>(Older public reports are available on line if you are looking for information on a resale property:</w:t>
      </w:r>
    </w:p>
    <w:p w:rsidR="00E257D7" w:rsidRPr="00802649" w:rsidRDefault="00CD1D3C">
      <w:pPr>
        <w:rPr>
          <w:rFonts w:asciiTheme="majorHAnsi" w:hAnsiTheme="majorHAnsi" w:cstheme="majorHAnsi"/>
          <w:sz w:val="24"/>
          <w:szCs w:val="24"/>
        </w:rPr>
      </w:pPr>
      <w:hyperlink r:id="rId9" w:history="1">
        <w:r w:rsidR="00E248E3" w:rsidRPr="00802649">
          <w:rPr>
            <w:rStyle w:val="Hyperlink"/>
            <w:rFonts w:asciiTheme="majorHAnsi" w:hAnsiTheme="majorHAnsi" w:cstheme="majorHAnsi"/>
            <w:sz w:val="24"/>
            <w:szCs w:val="24"/>
          </w:rPr>
          <w:t>http://services.azre.gov/publicdatabase/SearchDevelopments.aspx</w:t>
        </w:r>
      </w:hyperlink>
      <w:r w:rsidR="00E248E3" w:rsidRPr="00802649">
        <w:rPr>
          <w:rFonts w:asciiTheme="majorHAnsi" w:hAnsiTheme="majorHAnsi" w:cstheme="majorHAnsi"/>
          <w:sz w:val="24"/>
          <w:szCs w:val="24"/>
        </w:rPr>
        <w:t>)</w:t>
      </w:r>
    </w:p>
    <w:p w:rsidR="00E248E3" w:rsidRPr="00802649" w:rsidRDefault="00E248E3">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Illegal Subdivisions Acting in Concert</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In addition, you should be aware of “red flags” which may indicate illegal subdividing of property.  These may include:</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“Too good to be true” financing offers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Monies paid out of escrow</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Lot release provisions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Other Statutory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 following disclosures are also required by statute:</w:t>
      </w: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Military airport disclosure (A.R.S. §28-8484): requires sellers of residential property to disclose if the property is located “in the vicinity of a military airport or ancillary military facility.”</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 xml:space="preserve">Public airport information (A.R.S. §28-8486): if a residential property is located in the vicinity of a public airport, this must be disclosed to buyers.  For this purpose, a recorded map is available at the county </w:t>
      </w:r>
      <w:r w:rsidR="00E248E3" w:rsidRPr="00802649">
        <w:rPr>
          <w:rFonts w:asciiTheme="majorHAnsi" w:hAnsiTheme="majorHAnsi" w:cstheme="majorHAnsi"/>
          <w:sz w:val="24"/>
          <w:szCs w:val="24"/>
        </w:rPr>
        <w:t>recorder’s</w:t>
      </w:r>
      <w:r w:rsidRPr="00802649">
        <w:rPr>
          <w:rFonts w:asciiTheme="majorHAnsi" w:hAnsiTheme="majorHAnsi" w:cstheme="majorHAnsi"/>
          <w:sz w:val="24"/>
          <w:szCs w:val="24"/>
        </w:rPr>
        <w:t xml:space="preserve"> office.</w:t>
      </w:r>
      <w:r w:rsidR="00E248E3" w:rsidRPr="00802649">
        <w:rPr>
          <w:rFonts w:asciiTheme="majorHAnsi" w:hAnsiTheme="majorHAnsi" w:cstheme="majorHAnsi"/>
          <w:sz w:val="24"/>
          <w:szCs w:val="24"/>
        </w:rPr>
        <w:t xml:space="preserve"> (Sometimes referred to as a noise contour map)</w:t>
      </w:r>
    </w:p>
    <w:p w:rsidR="00E257D7" w:rsidRPr="00802649" w:rsidRDefault="00E257D7" w:rsidP="00862BA2">
      <w:pPr>
        <w:rPr>
          <w:rFonts w:asciiTheme="majorHAnsi" w:hAnsiTheme="majorHAnsi" w:cstheme="majorHAnsi"/>
          <w:b/>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802649" w:rsidRDefault="00E257D7" w:rsidP="00D05E35">
      <w:pPr>
        <w:jc w:val="center"/>
        <w:rPr>
          <w:rFonts w:asciiTheme="majorHAnsi" w:hAnsiTheme="majorHAnsi" w:cstheme="majorHAnsi"/>
          <w:b/>
          <w:color w:val="FF0000"/>
          <w:sz w:val="72"/>
          <w:szCs w:val="72"/>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2: Due Diligence</w:t>
      </w: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277FEA" w:rsidP="00D05E35">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12" w:space="0" w:color="auto"/>
        </w:rPr>
        <w:drawing>
          <wp:inline distT="0" distB="0" distL="0" distR="0">
            <wp:extent cx="2826385" cy="34321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26385" cy="3432175"/>
                    </a:xfrm>
                    <a:prstGeom prst="rect">
                      <a:avLst/>
                    </a:prstGeom>
                    <a:noFill/>
                    <a:ln w="9525">
                      <a:noFill/>
                      <a:miter lim="800000"/>
                      <a:headEnd/>
                      <a:tailEnd/>
                    </a:ln>
                  </pic:spPr>
                </pic:pic>
              </a:graphicData>
            </a:graphic>
          </wp:inline>
        </w:drawing>
      </w: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0E4D2F" w:rsidRDefault="00E257D7" w:rsidP="00D05E35">
      <w:pPr>
        <w:pStyle w:val="Heading1"/>
        <w:rPr>
          <w:rFonts w:asciiTheme="majorHAnsi" w:hAnsiTheme="majorHAnsi" w:cstheme="majorHAnsi"/>
          <w:i/>
          <w:color w:val="auto"/>
          <w:sz w:val="32"/>
          <w:szCs w:val="32"/>
        </w:rPr>
      </w:pPr>
      <w:bookmarkStart w:id="19" w:name="_Toc190850900"/>
      <w:r w:rsidRPr="000E4D2F">
        <w:rPr>
          <w:rFonts w:asciiTheme="majorHAnsi" w:hAnsiTheme="majorHAnsi" w:cstheme="majorHAnsi"/>
          <w:color w:val="auto"/>
          <w:sz w:val="32"/>
          <w:szCs w:val="32"/>
        </w:rPr>
        <w:lastRenderedPageBreak/>
        <w:t xml:space="preserve">Unit 2, Segment 1: Due Diligence and the </w:t>
      </w:r>
      <w:r w:rsidRPr="000E4D2F">
        <w:rPr>
          <w:rFonts w:asciiTheme="majorHAnsi" w:hAnsiTheme="majorHAnsi" w:cstheme="majorHAnsi"/>
          <w:i/>
          <w:color w:val="auto"/>
          <w:sz w:val="32"/>
          <w:szCs w:val="32"/>
        </w:rPr>
        <w:t>Buyer Advisory</w:t>
      </w:r>
      <w:bookmarkEnd w:id="19"/>
    </w:p>
    <w:p w:rsidR="00E257D7" w:rsidRPr="00802649" w:rsidRDefault="00E257D7" w:rsidP="00D05E35">
      <w:pPr>
        <w:rPr>
          <w:rFonts w:asciiTheme="majorHAnsi" w:hAnsiTheme="majorHAnsi" w:cstheme="majorHAnsi"/>
          <w:b/>
          <w:i/>
          <w:color w:val="FF0000"/>
          <w:sz w:val="24"/>
          <w:szCs w:val="24"/>
        </w:rPr>
      </w:pPr>
    </w:p>
    <w:p w:rsidR="00E257D7" w:rsidRPr="000E4D2F" w:rsidRDefault="00E257D7" w:rsidP="00D05E35">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15 minutes for this segment</w:t>
      </w:r>
    </w:p>
    <w:p w:rsidR="00E257D7" w:rsidRPr="00802649" w:rsidRDefault="00E257D7" w:rsidP="00D05E3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 xml:space="preserve">To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In general, what risks are associated with the due diligence period?</w:t>
      </w:r>
    </w:p>
    <w:p w:rsidR="000E4D2F"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allow enough time for inspections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qualified inspectors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review and understand important documents related to the transaction</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property conditions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account for surrounding area conditions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What is the significance of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w:t>
      </w:r>
    </w:p>
    <w:p w:rsidR="00E257D7" w:rsidRPr="000E4D2F" w:rsidRDefault="00E257D7" w:rsidP="003120B8">
      <w:pPr>
        <w:pStyle w:val="ListParagraph"/>
        <w:numPr>
          <w:ilvl w:val="0"/>
          <w:numId w:val="41"/>
        </w:numPr>
        <w:rPr>
          <w:rFonts w:asciiTheme="majorHAnsi" w:hAnsiTheme="majorHAnsi" w:cstheme="majorHAnsi"/>
          <w:color w:val="FF0000"/>
          <w:sz w:val="24"/>
          <w:szCs w:val="24"/>
        </w:rPr>
      </w:pPr>
      <w:r w:rsidRPr="000E4D2F">
        <w:rPr>
          <w:rFonts w:asciiTheme="majorHAnsi" w:hAnsiTheme="majorHAnsi" w:cstheme="majorHAnsi"/>
          <w:b/>
          <w:i/>
          <w:vanish/>
          <w:color w:val="FF0000"/>
          <w:sz w:val="24"/>
          <w:szCs w:val="24"/>
        </w:rPr>
        <w:t xml:space="preserve">Just as the seller has a duty to disclose, the buyer has a duty to satisfy themselves as to the condition of a property.  The Buyer Advisory was created, in part, to combat efforts to expand broker duties and liabilities related to inspection and discovery. </w:t>
      </w:r>
      <w:r w:rsidRPr="000E4D2F">
        <w:rPr>
          <w:rFonts w:asciiTheme="majorHAnsi" w:hAnsiTheme="majorHAnsi" w:cstheme="majorHAnsi"/>
          <w:color w:val="FF0000"/>
          <w:sz w:val="24"/>
          <w:szCs w:val="24"/>
        </w:rPr>
        <w:t xml:space="preserve">  </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must share some responsibility for evaluating the condition of a property prior to purchase – this cuts down on disputes between buyers and sellers regarding the condition of a property, buyer claims of negligent misrepresentation, etc.</w:t>
      </w: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REALTORS® are not licensed inspectors; the Buyer Advisory aids buyers in seeking out qualified professionals to perform needed inspections and investigations.  It also contains important resources for buyers to identify areas of concern and access important information such as tax records, insurance claims history, zoning information and much more.</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lastRenderedPageBreak/>
        <w:t>When deciding disputes between buyers and sellers regarding property defects, courts often place great weight on whether or not the buyers inspected the property.  By making a thorough inspection of documents, physical conditions, and conditions affecting the surrounding area prior to closing, buyers can protect themselves in the event of a dispute after the sale.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20" w:name="_Toc190850901"/>
      <w:r w:rsidRPr="000E4D2F">
        <w:rPr>
          <w:rFonts w:asciiTheme="majorHAnsi" w:hAnsiTheme="majorHAnsi" w:cstheme="majorHAnsi"/>
          <w:color w:val="auto"/>
          <w:sz w:val="32"/>
          <w:szCs w:val="32"/>
        </w:rPr>
        <w:lastRenderedPageBreak/>
        <w:t>Unit 2, Segment 2: Document Review</w:t>
      </w:r>
      <w:bookmarkEnd w:id="20"/>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30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review important documents related to the transaction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Risk Identification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valuable information for buyers concerning documents that should be reviewed during the due diligence period.  Better-educated buyers reduce your risk and theirs by equipping themselves with the information necessary to thoroughly and effectively investigate a property.  Identify and discuss the potential risks addressed by the thorough review of the following documents: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Purchase Contract:</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assertion their broker didn’t tell them what the contract said</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contractual obligations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legal rights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MLS Printout: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MLS info</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realize MLS info is not part of purchase contract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as exhibit in summons and complaint or other pleadings in a civil case</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Subdivision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info in the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limitations of use or occupancy</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physical and environmental characteristics</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color w:val="FF0000"/>
          <w:sz w:val="24"/>
          <w:szCs w:val="24"/>
        </w:rPr>
      </w:pPr>
      <w:r w:rsidRPr="00802649">
        <w:rPr>
          <w:rFonts w:asciiTheme="majorHAnsi" w:hAnsiTheme="majorHAnsi" w:cstheme="majorHAnsi"/>
          <w:color w:val="FF0000"/>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Seller’s Property Disclosure Statement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items within the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disclosed repairs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Covenants, Conditions and Restrictions (“CC&amp;Rs”):</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restrictions </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associated with CC&amp;R enforcement</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Others… </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tabs>
          <w:tab w:val="left" w:pos="1185"/>
        </w:tabs>
        <w:rPr>
          <w:rFonts w:asciiTheme="majorHAnsi" w:hAnsiTheme="majorHAnsi" w:cstheme="majorHAnsi"/>
          <w:color w:val="FF0000"/>
          <w:sz w:val="24"/>
          <w:szCs w:val="24"/>
        </w:rPr>
      </w:pPr>
      <w:r w:rsidRPr="00802649">
        <w:rPr>
          <w:rFonts w:asciiTheme="majorHAnsi" w:hAnsiTheme="majorHAnsi" w:cstheme="majorHAnsi"/>
          <w:color w:val="FF0000"/>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Homeowner’s Association (“HOA”) Governing Documents: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related fees </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association rights and remedies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HOA Disclosures: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HOA dues and fees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for current or unpaid dues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Alterations or improvements in violation of covenants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Economic Items</w:t>
      </w:r>
      <w:r w:rsidRPr="00802649">
        <w:rPr>
          <w:rFonts w:asciiTheme="majorHAnsi" w:hAnsiTheme="majorHAnsi" w:cstheme="majorHAnsi"/>
          <w:sz w:val="24"/>
          <w:szCs w:val="24"/>
        </w:rPr>
        <w:t xml:space="preserve"> </w:t>
      </w:r>
      <w:r w:rsidRPr="00802649">
        <w:rPr>
          <w:rFonts w:asciiTheme="majorHAnsi" w:hAnsiTheme="majorHAnsi" w:cstheme="majorHAnsi"/>
          <w:b/>
          <w:sz w:val="24"/>
          <w:szCs w:val="24"/>
        </w:rPr>
        <w:t>(i.e. financial statements, rent rolls, deposits, leases, service contracts):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Discrepancies in statements related to income-producing properties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Title Report or Title Commitment:</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Schedule B Exceptions</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the impact of Schedule B Exceptions on future property use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obtain needed professional advice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Loan Documents: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Insufficient time to secure financing</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financing obligations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submit proper documentation</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predatory lending practices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 Warranty Policy:</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coverage and limitation</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Affidavit of Disclosure:</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critical issues contained in the affidavit</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rescission rights</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LBP Disclosure Form:</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legal rights associated with LBP disclosures</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County Assessors/Tax Records:</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critical information such as assessed value, tax liability, square footage, date built, etc.</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Professional Home Inspection Report</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costly defects in a property</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areas excluded from an inspection</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b/>
          <w:sz w:val="24"/>
          <w:szCs w:val="24"/>
        </w:rPr>
        <w:t>NOTE:</w:t>
      </w:r>
      <w:r w:rsidRPr="00802649">
        <w:rPr>
          <w:rFonts w:asciiTheme="majorHAnsi" w:hAnsiTheme="majorHAnsi" w:cstheme="majorHAnsi"/>
          <w:sz w:val="24"/>
          <w:szCs w:val="24"/>
        </w:rPr>
        <w:t xml:space="preserve"> Home inspectors should have E &amp; O Insurance</w:t>
      </w:r>
    </w:p>
    <w:p w:rsidR="00E257D7" w:rsidRPr="00802649" w:rsidRDefault="00E257D7" w:rsidP="00C654D9">
      <w:pPr>
        <w:tabs>
          <w:tab w:val="left" w:pos="1680"/>
        </w:tabs>
        <w:rPr>
          <w:rFonts w:asciiTheme="majorHAnsi" w:hAnsiTheme="majorHAnsi" w:cstheme="majorHAnsi"/>
          <w:sz w:val="24"/>
          <w:szCs w:val="24"/>
        </w:rPr>
      </w:pPr>
      <w:r w:rsidRPr="00802649">
        <w:rPr>
          <w:rFonts w:asciiTheme="majorHAnsi" w:hAnsiTheme="majorHAnsi" w:cstheme="majorHAnsi"/>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Termites and Other Wood Destroying Insects and Organisms</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properly evaluate the condition of a property</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treatments, infestation or existing damage</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21" w:name="_Toc190850902"/>
      <w:r w:rsidRPr="000E4D2F">
        <w:rPr>
          <w:rFonts w:asciiTheme="majorHAnsi" w:hAnsiTheme="majorHAnsi" w:cstheme="majorHAnsi"/>
          <w:color w:val="auto"/>
          <w:sz w:val="32"/>
          <w:szCs w:val="32"/>
        </w:rPr>
        <w:lastRenderedPageBreak/>
        <w:t>Unit 2, Segment 3: Physical Inspections</w:t>
      </w:r>
      <w:bookmarkEnd w:id="21"/>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60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for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complete appropriate inspections and investigations</w:t>
      </w: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Home or Property Inspections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perform a home inspection?</w:t>
      </w:r>
    </w:p>
    <w:p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property defects</w:t>
      </w:r>
    </w:p>
    <w:p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Misinterpreting the condition of a property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Why should buyers perform a home inspection?</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qualified inspector can detect many existing or potential problems that could be costly to repair.  The majority of disputes between buyers and sellers are related to material defects in a property; buyers should take every precaution to uncover any existing problems during the inspection period.  A qualified home inspector may also be able to recommend needed evaluation by other professionals.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How can a buyer be sure an inspector is qualified?</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Advisory contains links to websites of the Arizona Board of Technical Registration, which provides a list of certified home inspectors, and the American Society of Home Inspectors, which provides additional information on home inspections.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Repairs and New Construction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repairs or new construction (additions)?</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properly permitted</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expertly performed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 xml:space="preserve">Buyer Advisory </w:t>
      </w:r>
      <w:r w:rsidRPr="00802649">
        <w:rPr>
          <w:rFonts w:asciiTheme="majorHAnsi" w:hAnsiTheme="majorHAnsi" w:cstheme="majorHAnsi"/>
          <w:b/>
          <w:sz w:val="24"/>
          <w:szCs w:val="24"/>
        </w:rPr>
        <w:t>aid buyers in investigating repairs and new construction?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a guide on hiring a licensed contractor to perform an inspection.  Also, it directs buyers to where they can find information regarding permitting. </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Roof</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the roof of a property?</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This can be a costly repair!!</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notice past leaks and/or water damage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information on hiring a licensed roofer as well as a link to the Arizona Roofing Contractors Association.</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Wood-destroying Insects and Other Wood-destroying Organisms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this inspection?</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or present infestation or damage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Swimming Pools and Spas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swimming pools and/or spas?</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Cleaning systems and pumps can be costly to repair</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city and county ordinances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buyers in swimming pool/spa inspection?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directions and web links for buyers to access pool barrier contact information for cities and counties, the Arizona Department of Health Services Private Pool Safety notice and the state law on swimming pools.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Square Footage</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square footage?</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May be material to the transaction</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and/or resale concerns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Links to websites containing lists of appraisers and architects may be accessed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Sewer, Septic, and Other On-site Wastewater Treatment Facilities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sewer connection?</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Falsely identifying a property as being connected to sewer</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an on-site wastewater treatment facility or septic system?</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ADEQ rules regarding inspection and transfer of ownership</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ADEQ website for information on requirements.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Water/Well Issues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water/well issues?</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lastRenderedPageBreak/>
        <w:t>Disputes regarding the availability and quality of the water to the property</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General Stream Adjudications that may affect the property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Soil Conditions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soil conditions?</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Structural problems associated with soil movement</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problems with suitability for building/improvements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in investigating soil issues?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sites detailing where soil conditions may be an issue, as well as a link to a list of certified engineers who can perform any needed inspections.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Previous Fire/Flood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previous fires/floods?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future problems or needed repairs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existing damage and/or mold problems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Adequacy of repair/remediation</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Deficiencies on permits/inspections after repairs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Pests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a pest inspection?</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pest infestation which may be material to the buyer</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scorpions, roof rats, termites and bark beetles.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Endangered and Threatened Species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investigating issues related to endangered and threatened species?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impact on land uses and/or suitability</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U.S. Fish and Wildlife website to provide information for buyers if this is a concern.</w:t>
      </w:r>
    </w:p>
    <w:p w:rsidR="00E257D7" w:rsidRPr="00802649" w:rsidRDefault="00E257D7" w:rsidP="00C654D9">
      <w:pPr>
        <w:rPr>
          <w:rFonts w:asciiTheme="majorHAnsi" w:hAnsiTheme="majorHAnsi" w:cstheme="majorHAnsi"/>
          <w:sz w:val="24"/>
          <w:szCs w:val="24"/>
        </w:rPr>
      </w:pPr>
    </w:p>
    <w:p w:rsidR="00E257D7" w:rsidRPr="00802649" w:rsidRDefault="00E257D7" w:rsidP="00C654D9">
      <w:pPr>
        <w:tabs>
          <w:tab w:val="center" w:pos="4680"/>
        </w:tabs>
        <w:rPr>
          <w:rFonts w:asciiTheme="majorHAnsi" w:hAnsiTheme="majorHAnsi" w:cstheme="majorHAnsi"/>
          <w:b/>
          <w:sz w:val="28"/>
          <w:szCs w:val="28"/>
        </w:rPr>
      </w:pPr>
      <w:r w:rsidRPr="00802649">
        <w:rPr>
          <w:rFonts w:asciiTheme="majorHAnsi" w:hAnsiTheme="majorHAnsi" w:cstheme="majorHAnsi"/>
          <w:b/>
          <w:sz w:val="28"/>
          <w:szCs w:val="28"/>
        </w:rPr>
        <w:t>Deaths and Felonies on the Property</w:t>
      </w:r>
      <w:r w:rsidRPr="00802649">
        <w:rPr>
          <w:rFonts w:asciiTheme="majorHAnsi" w:hAnsiTheme="majorHAnsi" w:cstheme="majorHAnsi"/>
          <w:b/>
          <w:sz w:val="28"/>
          <w:szCs w:val="28"/>
        </w:rPr>
        <w:tab/>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Because sellers and listing brokers are not liable for failing to disclose this type of information, it is up to the buyer (if it is material to them) to investigate by contacting the local law enforcement agency.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Indoor Environmental Concerns: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failing to investigate the possible presence of mold?</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health hazards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signs indicating the presence of mold</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several links where buyers can find information and resources related to the presence of mold.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Radon Gas and Carbon Monoxide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presence of radon gas and/or carbon monoxide should be investigated by a home inspector.  This can usually be done for an additional fee.  A link to information on state radon levels can be found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Clandestine Drug Labs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A link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allows buyers to access a list of seized properties through the Board of Technical Registration website.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Property Boundaries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property boundaries?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encroachments and/or use of property by 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a link to a list of surveyors.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Flood Plain Status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whether the property is located in a flood plain?</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Increased insurance premiums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lender requirements to obtain flood hazard insurance</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on future improvements/encumbrances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county and state websites where buyers can access information and location of flood plains.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Insurance (Claims History)</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issues related to the insurability of a property?</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homeowner’s insurance</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financing</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of past insurance claims</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Insurance cancellation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homeowner’s insurance and order a claims history, as well as information on filing a complaint against an insurance company.</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Other Property Conditions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What risks are associated with failing to investigate the functionality of plumbing, cooling/heating systems and electrical systems?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Possible presence of polybutylene pipes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needed repairs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DF11EA">
      <w:pPr>
        <w:pStyle w:val="Heading1"/>
        <w:rPr>
          <w:rFonts w:asciiTheme="majorHAnsi" w:hAnsiTheme="majorHAnsi" w:cstheme="majorHAnsi"/>
          <w:sz w:val="32"/>
          <w:szCs w:val="32"/>
        </w:rPr>
      </w:pPr>
      <w:bookmarkStart w:id="22" w:name="_Toc190850903"/>
      <w:r w:rsidRPr="00802649">
        <w:rPr>
          <w:rFonts w:asciiTheme="majorHAnsi" w:hAnsiTheme="majorHAnsi" w:cstheme="majorHAnsi"/>
          <w:sz w:val="32"/>
          <w:szCs w:val="32"/>
        </w:rPr>
        <w:lastRenderedPageBreak/>
        <w:t>Unit 2, Segment 4: Surrounding Area Conditions</w:t>
      </w:r>
      <w:bookmarkEnd w:id="22"/>
    </w:p>
    <w:p w:rsidR="00E257D7" w:rsidRPr="00802649" w:rsidRDefault="00E257D7" w:rsidP="00DF11EA">
      <w:pPr>
        <w:rPr>
          <w:rFonts w:asciiTheme="majorHAnsi" w:hAnsiTheme="majorHAnsi" w:cstheme="majorHAnsi"/>
          <w:b/>
          <w:i/>
          <w:color w:val="FF0000"/>
          <w:sz w:val="24"/>
          <w:szCs w:val="24"/>
        </w:rPr>
      </w:pPr>
    </w:p>
    <w:p w:rsidR="00E257D7" w:rsidRPr="000E4D2F" w:rsidRDefault="00E257D7" w:rsidP="00DF11EA">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20 minutes for this segment</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risks associated with sellers failing to complete the appropriate investigations of conditions affecting the surrounding area</w:t>
      </w:r>
    </w:p>
    <w:p w:rsidR="00E257D7" w:rsidRPr="00802649" w:rsidRDefault="00E257D7" w:rsidP="00DF11EA">
      <w:pPr>
        <w:rPr>
          <w:rFonts w:asciiTheme="majorHAnsi" w:hAnsiTheme="majorHAnsi" w:cstheme="majorHAnsi"/>
          <w:b/>
          <w:sz w:val="28"/>
          <w:szCs w:val="28"/>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Environmental Concerns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environmental concerns?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consider the proximity of landfills or environmental hazards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regarding the location of landfills, wildfire information, air and water quality and more.</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Electromagnetic Fields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electromagnetic fields and potential associated health risks.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Superfund Sites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superfund sites?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 property as being in an area designated by the ADEQ as requiring cleanup</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the ADEQ and EPA websites where buyers can view maps and obtain further information.</w:t>
      </w:r>
    </w:p>
    <w:p w:rsidR="00E257D7" w:rsidRPr="00802649" w:rsidRDefault="00E257D7" w:rsidP="00DF11EA">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lastRenderedPageBreak/>
        <w:t>Freeway Construction and Traffic Conditions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of existing and planned freeways?</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undesirable noise</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discover planned roadway construction affecting the property</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account for traffic conditions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Arizona Department of Transportation where buyers can access information on roadway construction and planning, as well as a link to investigate traffic conditions in the surrounding area.</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Crime Statistics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Many buyers consider crime statistics in the surrounding area material to their decision to purchase property.  The Buyer Advisory provides links to city crime statistics as well as contact information for local law enforcement agencies.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Sex Offenders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Sellers are not required to disclose the presence of sex offenders in the surrounding area.  Buyers, especially those with children, may wish to access the state sex offender registry to investigate the possible presence of sex offenders in the vicinity.  A link to the registry is contained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Military and Public Airports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to military and/or public airports?</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air traffic noise and disturbances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where buyers can access maps of military and public airports to determine proximity.</w:t>
      </w:r>
    </w:p>
    <w:p w:rsidR="00E257D7" w:rsidRPr="00802649" w:rsidRDefault="00E257D7" w:rsidP="00DF11EA">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F11EA">
      <w:pPr>
        <w:rPr>
          <w:rFonts w:asciiTheme="majorHAnsi" w:hAnsiTheme="majorHAnsi" w:cstheme="majorHAnsi"/>
          <w:b/>
          <w:sz w:val="28"/>
          <w:szCs w:val="24"/>
        </w:rPr>
      </w:pPr>
      <w:r w:rsidRPr="00802649">
        <w:rPr>
          <w:rFonts w:asciiTheme="majorHAnsi" w:hAnsiTheme="majorHAnsi" w:cstheme="majorHAnsi"/>
          <w:b/>
          <w:sz w:val="28"/>
          <w:szCs w:val="24"/>
        </w:rPr>
        <w:lastRenderedPageBreak/>
        <w:t>Forested Areas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Buyers purchasing property in a forested area may wish to obtain information on wildfires.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protecting their property.</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Zoning/Planning/Neighborhood Services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zoning and planning issues?</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Inability to subdivide or split property</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intended use</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septic or on-site wastewater treatment facility</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various city and town planning departments.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Schools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area schools?</w:t>
      </w: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enrollment caps, school ratings and state standards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For buyers with school-aged children, the condition and availability of area schools may be a significant consideration.  Links are available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to investigate area schools.  Buyers are also recommended to make an on-site visit to the school.</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City Profile Report</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Obtaining a city profile report may be important to buyers, especially those relocating from another area.  These reports contain information such as demographics and finances from a number of sources.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where buyers can access city profiles.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2D58A7">
      <w:pPr>
        <w:rPr>
          <w:rFonts w:asciiTheme="majorHAnsi" w:hAnsiTheme="majorHAnsi" w:cstheme="majorHAnsi"/>
          <w:b/>
          <w:sz w:val="28"/>
          <w:szCs w:val="28"/>
        </w:rPr>
      </w:pPr>
      <w:r w:rsidRPr="00802649">
        <w:rPr>
          <w:rFonts w:asciiTheme="majorHAnsi" w:hAnsiTheme="majorHAnsi" w:cstheme="majorHAnsi"/>
          <w:b/>
          <w:sz w:val="28"/>
          <w:szCs w:val="28"/>
        </w:rPr>
        <w:lastRenderedPageBreak/>
        <w:t xml:space="preserve">Due Diligence Conclusion </w:t>
      </w:r>
    </w:p>
    <w:p w:rsidR="00E257D7" w:rsidRPr="003120B8" w:rsidRDefault="00E257D7" w:rsidP="002D58A7">
      <w:p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Timing: 10 minutes</w:t>
      </w:r>
    </w:p>
    <w:p w:rsidR="00E257D7" w:rsidRPr="00802649" w:rsidRDefault="00E257D7" w:rsidP="002D58A7">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was created to allow buyers to take a more active role in completing desired inspections and investigations on a property.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also encourages buyers to familiarize themselves with a property by talking to neighbors and driving around the neighborhood.  Additional links are provided to assist buyers in obtaining further information on government agencies and fair housing issues. </w:t>
      </w:r>
    </w:p>
    <w:p w:rsidR="00E257D7" w:rsidRPr="00802649" w:rsidRDefault="00E257D7" w:rsidP="002D58A7">
      <w:pPr>
        <w:rPr>
          <w:rFonts w:asciiTheme="majorHAnsi" w:hAnsiTheme="majorHAnsi" w:cstheme="majorHAnsi"/>
          <w:b/>
          <w:sz w:val="24"/>
          <w:szCs w:val="24"/>
        </w:rPr>
      </w:pPr>
      <w:r w:rsidRPr="00802649">
        <w:rPr>
          <w:rFonts w:asciiTheme="majorHAnsi" w:hAnsiTheme="majorHAnsi" w:cstheme="majorHAnsi"/>
          <w:b/>
          <w:sz w:val="24"/>
          <w:szCs w:val="24"/>
        </w:rPr>
        <w:t xml:space="preserve">How can you use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to assist buyers in completing due diligence inspections and investigations?</w:t>
      </w:r>
    </w:p>
    <w:p w:rsidR="00E257D7" w:rsidRPr="00802649" w:rsidRDefault="00E257D7" w:rsidP="002D58A7">
      <w:pPr>
        <w:rPr>
          <w:rFonts w:asciiTheme="majorHAnsi" w:hAnsiTheme="majorHAnsi" w:cstheme="majorHAnsi"/>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Identify important issues</w:t>
      </w: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Explain why certain issues may be important</w:t>
      </w:r>
    </w:p>
    <w:p w:rsidR="00E257D7" w:rsidRPr="003120B8" w:rsidRDefault="00E257D7" w:rsidP="003120B8">
      <w:pPr>
        <w:rPr>
          <w:rFonts w:asciiTheme="majorHAnsi" w:hAnsiTheme="majorHAnsi" w:cstheme="majorHAnsi"/>
          <w:b/>
          <w:i/>
          <w:vanish/>
          <w:color w:val="FF0000"/>
          <w:sz w:val="24"/>
          <w:szCs w:val="24"/>
        </w:rPr>
      </w:pPr>
    </w:p>
    <w:p w:rsidR="00E257D7" w:rsidRPr="003120B8" w:rsidRDefault="00E257D7" w:rsidP="003120B8">
      <w:pPr>
        <w:rPr>
          <w:rFonts w:asciiTheme="majorHAnsi" w:hAnsiTheme="majorHAnsi" w:cstheme="majorHAnsi"/>
          <w:b/>
          <w:i/>
          <w:vanish/>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Direct them to sources of additional information</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color w:val="FF0000"/>
          <w:sz w:val="24"/>
          <w:szCs w:val="24"/>
        </w:rPr>
      </w:pPr>
    </w:p>
    <w:p w:rsidR="00E257D7" w:rsidRPr="00802649" w:rsidRDefault="00E257D7" w:rsidP="00DF11EA">
      <w:pPr>
        <w:rPr>
          <w:rFonts w:asciiTheme="majorHAnsi" w:hAnsiTheme="majorHAnsi" w:cstheme="majorHAnsi"/>
          <w:sz w:val="24"/>
          <w:szCs w:val="24"/>
        </w:rPr>
      </w:pPr>
    </w:p>
    <w:sectPr w:rsidR="00E257D7" w:rsidRPr="00802649" w:rsidSect="00DC083B">
      <w:footerReference w:type="default" r:id="rId11"/>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310" w:rsidRDefault="00A27310" w:rsidP="00DC083B">
      <w:pPr>
        <w:spacing w:after="0" w:line="240" w:lineRule="auto"/>
      </w:pPr>
      <w:r>
        <w:separator/>
      </w:r>
    </w:p>
  </w:endnote>
  <w:endnote w:type="continuationSeparator" w:id="0">
    <w:p w:rsidR="00A27310" w:rsidRDefault="00A27310" w:rsidP="00D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10" w:rsidRDefault="00CD1D3C">
    <w:pPr>
      <w:pStyle w:val="Footer"/>
    </w:pPr>
    <w:r>
      <w:t>5</w:t>
    </w:r>
    <w:r w:rsidR="00A27310">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9500870</wp:posOffset>
              </wp:positionV>
              <wp:extent cx="558800" cy="238760"/>
              <wp:effectExtent l="19050" t="23495" r="22225" b="234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38760"/>
                      </a:xfrm>
                      <a:prstGeom prst="bracketPair">
                        <a:avLst>
                          <a:gd name="adj" fmla="val 16667"/>
                        </a:avLst>
                      </a:prstGeom>
                      <a:solidFill>
                        <a:srgbClr val="FFFFFF"/>
                      </a:solidFill>
                      <a:ln w="28575">
                        <a:solidFill>
                          <a:srgbClr val="808080"/>
                        </a:solidFill>
                        <a:round/>
                        <a:headEnd/>
                        <a:tailEnd/>
                      </a:ln>
                    </wps:spPr>
                    <wps:txbx>
                      <w:txbxContent>
                        <w:p w:rsidR="00A27310" w:rsidRDefault="00A27310">
                          <w:pPr>
                            <w:jc w:val="center"/>
                          </w:pPr>
                          <w:r>
                            <w:fldChar w:fldCharType="begin"/>
                          </w:r>
                          <w:r>
                            <w:instrText xml:space="preserve"> PAGE    \* MERGEFORMAT </w:instrText>
                          </w:r>
                          <w:r>
                            <w:fldChar w:fldCharType="separate"/>
                          </w:r>
                          <w:r w:rsidR="00CD1D3C">
                            <w:rPr>
                              <w:noProof/>
                            </w:rPr>
                            <w:t>5</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748.1pt;width:44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" filled="t" strokecolor="gray" strokeweight="2.25pt">
              <v:textbox inset=",0,,0">
                <w:txbxContent>
                  <w:p w:rsidR="00A27310" w:rsidRDefault="00A27310">
                    <w:pPr>
                      <w:jc w:val="center"/>
                    </w:pPr>
                    <w:r>
                      <w:fldChar w:fldCharType="begin"/>
                    </w:r>
                    <w:r>
                      <w:instrText xml:space="preserve"> PAGE    \* MERGEFORMAT </w:instrText>
                    </w:r>
                    <w:r>
                      <w:fldChar w:fldCharType="separate"/>
                    </w:r>
                    <w:r w:rsidR="00CD1D3C">
                      <w:rPr>
                        <w:noProof/>
                      </w:rPr>
                      <w:t>5</w:t>
                    </w:r>
                    <w:r>
                      <w:rPr>
                        <w:noProof/>
                      </w:rPr>
                      <w:fldChar w:fldCharType="end"/>
                    </w:r>
                  </w:p>
                </w:txbxContent>
              </v:textbox>
              <w10:wrap anchorx="margin" anchory="page"/>
            </v:shape>
          </w:pict>
        </mc:Fallback>
      </mc:AlternateContent>
    </w:r>
    <w:r w:rsidR="00A27310">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9610725</wp:posOffset>
              </wp:positionV>
              <wp:extent cx="5518150" cy="0"/>
              <wp:effectExtent l="9525" t="9525" r="635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BF9F3" id="_x0000_t32" coordsize="21600,21600" o:spt="32" o:oned="t" path="m,l21600,21600e" filled="f">
              <v:path arrowok="t" fillok="f" o:connecttype="none"/>
              <o:lock v:ext="edit" shapetype="t"/>
            </v:shapetype>
            <v:shape id="AutoShape 2" o:spid="_x0000_s1026" type="#_x0000_t32" style="position:absolute;margin-left:0;margin-top:756.75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" strokecolor="gray" strokeweight="1pt">
              <w10:wrap anchorx="margin" anchory="page"/>
            </v:shape>
          </w:pict>
        </mc:Fallback>
      </mc:AlternateConten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310" w:rsidRDefault="00A27310" w:rsidP="00DC083B">
      <w:pPr>
        <w:spacing w:after="0" w:line="240" w:lineRule="auto"/>
      </w:pPr>
      <w:r>
        <w:separator/>
      </w:r>
    </w:p>
  </w:footnote>
  <w:footnote w:type="continuationSeparator" w:id="0">
    <w:p w:rsidR="00A27310" w:rsidRDefault="00A27310" w:rsidP="00DC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7"/>
    <w:multiLevelType w:val="hybridMultilevel"/>
    <w:tmpl w:val="35D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2DE"/>
    <w:multiLevelType w:val="hybridMultilevel"/>
    <w:tmpl w:val="0382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6B4"/>
    <w:multiLevelType w:val="hybridMultilevel"/>
    <w:tmpl w:val="EAB8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2EC"/>
    <w:multiLevelType w:val="hybridMultilevel"/>
    <w:tmpl w:val="CA9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CF0"/>
    <w:multiLevelType w:val="hybridMultilevel"/>
    <w:tmpl w:val="A31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977"/>
    <w:multiLevelType w:val="hybridMultilevel"/>
    <w:tmpl w:val="FF8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6CB"/>
    <w:multiLevelType w:val="hybridMultilevel"/>
    <w:tmpl w:val="977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112E6"/>
    <w:multiLevelType w:val="hybridMultilevel"/>
    <w:tmpl w:val="6EC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793"/>
    <w:multiLevelType w:val="hybridMultilevel"/>
    <w:tmpl w:val="5E36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1264F3"/>
    <w:multiLevelType w:val="hybridMultilevel"/>
    <w:tmpl w:val="ED0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8559E"/>
    <w:multiLevelType w:val="hybridMultilevel"/>
    <w:tmpl w:val="C5F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339CC"/>
    <w:multiLevelType w:val="hybridMultilevel"/>
    <w:tmpl w:val="FFC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C4E8A"/>
    <w:multiLevelType w:val="hybridMultilevel"/>
    <w:tmpl w:val="98C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C4192"/>
    <w:multiLevelType w:val="hybridMultilevel"/>
    <w:tmpl w:val="76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10B80"/>
    <w:multiLevelType w:val="hybridMultilevel"/>
    <w:tmpl w:val="D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396"/>
    <w:multiLevelType w:val="hybridMultilevel"/>
    <w:tmpl w:val="68B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D755CD"/>
    <w:multiLevelType w:val="hybridMultilevel"/>
    <w:tmpl w:val="45A2BC3E"/>
    <w:lvl w:ilvl="0" w:tplc="04090005">
      <w:start w:val="1"/>
      <w:numFmt w:val="bullet"/>
      <w:lvlText w:val=""/>
      <w:lvlJc w:val="left"/>
      <w:pPr>
        <w:ind w:left="1485" w:hanging="360"/>
      </w:pPr>
      <w:rPr>
        <w:rFonts w:ascii="Wingdings" w:hAnsi="Wingdings" w:hint="default"/>
        <w:color w:val="auto"/>
        <w:sz w:val="24"/>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21770326"/>
    <w:multiLevelType w:val="hybridMultilevel"/>
    <w:tmpl w:val="13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A4F9B"/>
    <w:multiLevelType w:val="hybridMultilevel"/>
    <w:tmpl w:val="553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94978"/>
    <w:multiLevelType w:val="hybridMultilevel"/>
    <w:tmpl w:val="7D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41ED5"/>
    <w:multiLevelType w:val="hybridMultilevel"/>
    <w:tmpl w:val="1FE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84E39"/>
    <w:multiLevelType w:val="hybridMultilevel"/>
    <w:tmpl w:val="2DD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5704B"/>
    <w:multiLevelType w:val="hybridMultilevel"/>
    <w:tmpl w:val="5D6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45559"/>
    <w:multiLevelType w:val="hybridMultilevel"/>
    <w:tmpl w:val="EF5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35BD8"/>
    <w:multiLevelType w:val="hybridMultilevel"/>
    <w:tmpl w:val="54D0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C2F96"/>
    <w:multiLevelType w:val="hybridMultilevel"/>
    <w:tmpl w:val="AF4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41F96"/>
    <w:multiLevelType w:val="hybridMultilevel"/>
    <w:tmpl w:val="096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E4F2E"/>
    <w:multiLevelType w:val="hybridMultilevel"/>
    <w:tmpl w:val="DA4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82EAD"/>
    <w:multiLevelType w:val="hybridMultilevel"/>
    <w:tmpl w:val="2C4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E0CC7"/>
    <w:multiLevelType w:val="hybridMultilevel"/>
    <w:tmpl w:val="B3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A3FF2"/>
    <w:multiLevelType w:val="hybridMultilevel"/>
    <w:tmpl w:val="ACA83D96"/>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21A0D"/>
    <w:multiLevelType w:val="hybridMultilevel"/>
    <w:tmpl w:val="2EF0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64820"/>
    <w:multiLevelType w:val="hybridMultilevel"/>
    <w:tmpl w:val="8D5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FE12D4"/>
    <w:multiLevelType w:val="hybridMultilevel"/>
    <w:tmpl w:val="A1A815BA"/>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5517F"/>
    <w:multiLevelType w:val="hybridMultilevel"/>
    <w:tmpl w:val="424E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A6409"/>
    <w:multiLevelType w:val="hybridMultilevel"/>
    <w:tmpl w:val="F63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81CCC"/>
    <w:multiLevelType w:val="hybridMultilevel"/>
    <w:tmpl w:val="CF8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0524ED"/>
    <w:multiLevelType w:val="hybridMultilevel"/>
    <w:tmpl w:val="A16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D6012"/>
    <w:multiLevelType w:val="hybridMultilevel"/>
    <w:tmpl w:val="BB0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865DC"/>
    <w:multiLevelType w:val="hybridMultilevel"/>
    <w:tmpl w:val="D31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2FB3"/>
    <w:multiLevelType w:val="hybridMultilevel"/>
    <w:tmpl w:val="589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079F0"/>
    <w:multiLevelType w:val="hybridMultilevel"/>
    <w:tmpl w:val="95B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382A04"/>
    <w:multiLevelType w:val="hybridMultilevel"/>
    <w:tmpl w:val="2E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52536"/>
    <w:multiLevelType w:val="hybridMultilevel"/>
    <w:tmpl w:val="7EE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F6BE2"/>
    <w:multiLevelType w:val="hybridMultilevel"/>
    <w:tmpl w:val="3CD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8A2F6F"/>
    <w:multiLevelType w:val="hybridMultilevel"/>
    <w:tmpl w:val="E42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203A66"/>
    <w:multiLevelType w:val="hybridMultilevel"/>
    <w:tmpl w:val="C78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440363"/>
    <w:multiLevelType w:val="hybridMultilevel"/>
    <w:tmpl w:val="2F1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1A34F7"/>
    <w:multiLevelType w:val="hybridMultilevel"/>
    <w:tmpl w:val="428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442DCB"/>
    <w:multiLevelType w:val="hybridMultilevel"/>
    <w:tmpl w:val="163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D60503"/>
    <w:multiLevelType w:val="hybridMultilevel"/>
    <w:tmpl w:val="219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9705E"/>
    <w:multiLevelType w:val="hybridMultilevel"/>
    <w:tmpl w:val="72EC67EC"/>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53BC7"/>
    <w:multiLevelType w:val="hybridMultilevel"/>
    <w:tmpl w:val="F01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0619B"/>
    <w:multiLevelType w:val="hybridMultilevel"/>
    <w:tmpl w:val="94A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0E7534"/>
    <w:multiLevelType w:val="hybridMultilevel"/>
    <w:tmpl w:val="5AB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FC2D7D"/>
    <w:multiLevelType w:val="hybridMultilevel"/>
    <w:tmpl w:val="84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65620B"/>
    <w:multiLevelType w:val="hybridMultilevel"/>
    <w:tmpl w:val="352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B9088D"/>
    <w:multiLevelType w:val="hybridMultilevel"/>
    <w:tmpl w:val="707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C301C8"/>
    <w:multiLevelType w:val="hybridMultilevel"/>
    <w:tmpl w:val="A2D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E12BEF"/>
    <w:multiLevelType w:val="hybridMultilevel"/>
    <w:tmpl w:val="E05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B32F1"/>
    <w:multiLevelType w:val="hybridMultilevel"/>
    <w:tmpl w:val="1BB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37C20"/>
    <w:multiLevelType w:val="hybridMultilevel"/>
    <w:tmpl w:val="3A9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DE3FBA"/>
    <w:multiLevelType w:val="hybridMultilevel"/>
    <w:tmpl w:val="18A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8228CC"/>
    <w:multiLevelType w:val="hybridMultilevel"/>
    <w:tmpl w:val="85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F2582D"/>
    <w:multiLevelType w:val="hybridMultilevel"/>
    <w:tmpl w:val="E75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286228"/>
    <w:multiLevelType w:val="hybridMultilevel"/>
    <w:tmpl w:val="D0E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3782F"/>
    <w:multiLevelType w:val="hybridMultilevel"/>
    <w:tmpl w:val="EE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90666E"/>
    <w:multiLevelType w:val="hybridMultilevel"/>
    <w:tmpl w:val="9EB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047AB8"/>
    <w:multiLevelType w:val="hybridMultilevel"/>
    <w:tmpl w:val="8C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DB669E"/>
    <w:multiLevelType w:val="hybridMultilevel"/>
    <w:tmpl w:val="1DE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95DBE"/>
    <w:multiLevelType w:val="hybridMultilevel"/>
    <w:tmpl w:val="0E1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5"/>
  </w:num>
  <w:num w:numId="4">
    <w:abstractNumId w:val="54"/>
  </w:num>
  <w:num w:numId="5">
    <w:abstractNumId w:val="40"/>
  </w:num>
  <w:num w:numId="6">
    <w:abstractNumId w:val="20"/>
  </w:num>
  <w:num w:numId="7">
    <w:abstractNumId w:val="14"/>
  </w:num>
  <w:num w:numId="8">
    <w:abstractNumId w:val="32"/>
  </w:num>
  <w:num w:numId="9">
    <w:abstractNumId w:val="28"/>
  </w:num>
  <w:num w:numId="10">
    <w:abstractNumId w:val="51"/>
  </w:num>
  <w:num w:numId="11">
    <w:abstractNumId w:val="7"/>
  </w:num>
  <w:num w:numId="12">
    <w:abstractNumId w:val="57"/>
  </w:num>
  <w:num w:numId="13">
    <w:abstractNumId w:val="60"/>
  </w:num>
  <w:num w:numId="14">
    <w:abstractNumId w:val="52"/>
  </w:num>
  <w:num w:numId="15">
    <w:abstractNumId w:val="34"/>
  </w:num>
  <w:num w:numId="16">
    <w:abstractNumId w:val="47"/>
  </w:num>
  <w:num w:numId="17">
    <w:abstractNumId w:val="31"/>
  </w:num>
  <w:num w:numId="18">
    <w:abstractNumId w:val="50"/>
  </w:num>
  <w:num w:numId="19">
    <w:abstractNumId w:val="17"/>
  </w:num>
  <w:num w:numId="20">
    <w:abstractNumId w:val="16"/>
  </w:num>
  <w:num w:numId="21">
    <w:abstractNumId w:val="0"/>
  </w:num>
  <w:num w:numId="22">
    <w:abstractNumId w:val="55"/>
  </w:num>
  <w:num w:numId="23">
    <w:abstractNumId w:val="43"/>
  </w:num>
  <w:num w:numId="24">
    <w:abstractNumId w:val="45"/>
  </w:num>
  <w:num w:numId="25">
    <w:abstractNumId w:val="4"/>
  </w:num>
  <w:num w:numId="26">
    <w:abstractNumId w:val="38"/>
  </w:num>
  <w:num w:numId="27">
    <w:abstractNumId w:val="27"/>
  </w:num>
  <w:num w:numId="28">
    <w:abstractNumId w:val="5"/>
  </w:num>
  <w:num w:numId="29">
    <w:abstractNumId w:val="46"/>
  </w:num>
  <w:num w:numId="30">
    <w:abstractNumId w:val="70"/>
  </w:num>
  <w:num w:numId="31">
    <w:abstractNumId w:val="36"/>
  </w:num>
  <w:num w:numId="32">
    <w:abstractNumId w:val="62"/>
  </w:num>
  <w:num w:numId="33">
    <w:abstractNumId w:val="53"/>
  </w:num>
  <w:num w:numId="34">
    <w:abstractNumId w:val="41"/>
  </w:num>
  <w:num w:numId="35">
    <w:abstractNumId w:val="15"/>
  </w:num>
  <w:num w:numId="36">
    <w:abstractNumId w:val="64"/>
  </w:num>
  <w:num w:numId="37">
    <w:abstractNumId w:val="48"/>
  </w:num>
  <w:num w:numId="38">
    <w:abstractNumId w:val="39"/>
  </w:num>
  <w:num w:numId="39">
    <w:abstractNumId w:val="19"/>
  </w:num>
  <w:num w:numId="40">
    <w:abstractNumId w:val="49"/>
  </w:num>
  <w:num w:numId="41">
    <w:abstractNumId w:val="1"/>
  </w:num>
  <w:num w:numId="42">
    <w:abstractNumId w:val="24"/>
  </w:num>
  <w:num w:numId="43">
    <w:abstractNumId w:val="56"/>
  </w:num>
  <w:num w:numId="44">
    <w:abstractNumId w:val="61"/>
  </w:num>
  <w:num w:numId="45">
    <w:abstractNumId w:val="26"/>
  </w:num>
  <w:num w:numId="46">
    <w:abstractNumId w:val="18"/>
  </w:num>
  <w:num w:numId="47">
    <w:abstractNumId w:val="21"/>
  </w:num>
  <w:num w:numId="48">
    <w:abstractNumId w:val="44"/>
  </w:num>
  <w:num w:numId="49">
    <w:abstractNumId w:val="37"/>
  </w:num>
  <w:num w:numId="50">
    <w:abstractNumId w:val="25"/>
  </w:num>
  <w:num w:numId="51">
    <w:abstractNumId w:val="13"/>
  </w:num>
  <w:num w:numId="52">
    <w:abstractNumId w:val="69"/>
  </w:num>
  <w:num w:numId="53">
    <w:abstractNumId w:val="23"/>
  </w:num>
  <w:num w:numId="54">
    <w:abstractNumId w:val="30"/>
  </w:num>
  <w:num w:numId="55">
    <w:abstractNumId w:val="67"/>
  </w:num>
  <w:num w:numId="56">
    <w:abstractNumId w:val="12"/>
  </w:num>
  <w:num w:numId="57">
    <w:abstractNumId w:val="66"/>
  </w:num>
  <w:num w:numId="58">
    <w:abstractNumId w:val="11"/>
  </w:num>
  <w:num w:numId="59">
    <w:abstractNumId w:val="6"/>
  </w:num>
  <w:num w:numId="60">
    <w:abstractNumId w:val="65"/>
  </w:num>
  <w:num w:numId="61">
    <w:abstractNumId w:val="2"/>
  </w:num>
  <w:num w:numId="62">
    <w:abstractNumId w:val="58"/>
  </w:num>
  <w:num w:numId="63">
    <w:abstractNumId w:val="29"/>
  </w:num>
  <w:num w:numId="64">
    <w:abstractNumId w:val="63"/>
  </w:num>
  <w:num w:numId="65">
    <w:abstractNumId w:val="42"/>
  </w:num>
  <w:num w:numId="66">
    <w:abstractNumId w:val="22"/>
  </w:num>
  <w:num w:numId="67">
    <w:abstractNumId w:val="68"/>
  </w:num>
  <w:num w:numId="68">
    <w:abstractNumId w:val="71"/>
  </w:num>
  <w:num w:numId="69">
    <w:abstractNumId w:val="33"/>
  </w:num>
  <w:num w:numId="70">
    <w:abstractNumId w:val="3"/>
  </w:num>
  <w:num w:numId="71">
    <w:abstractNumId w:val="59"/>
  </w:num>
  <w:num w:numId="72">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8"/>
    <w:rsid w:val="00002D01"/>
    <w:rsid w:val="00021EC2"/>
    <w:rsid w:val="00030D52"/>
    <w:rsid w:val="000A41C5"/>
    <w:rsid w:val="000D0394"/>
    <w:rsid w:val="000D5F3A"/>
    <w:rsid w:val="000E06B0"/>
    <w:rsid w:val="000E4D2F"/>
    <w:rsid w:val="001233C5"/>
    <w:rsid w:val="00125AD8"/>
    <w:rsid w:val="00136753"/>
    <w:rsid w:val="00150032"/>
    <w:rsid w:val="001C46F4"/>
    <w:rsid w:val="00216915"/>
    <w:rsid w:val="00223CA5"/>
    <w:rsid w:val="00242BD4"/>
    <w:rsid w:val="00261A0D"/>
    <w:rsid w:val="00277FEA"/>
    <w:rsid w:val="002916BD"/>
    <w:rsid w:val="002A3508"/>
    <w:rsid w:val="002B20FD"/>
    <w:rsid w:val="002D56C9"/>
    <w:rsid w:val="002D58A7"/>
    <w:rsid w:val="002E01B0"/>
    <w:rsid w:val="002F05AF"/>
    <w:rsid w:val="00303071"/>
    <w:rsid w:val="003120B8"/>
    <w:rsid w:val="00327599"/>
    <w:rsid w:val="00327CD7"/>
    <w:rsid w:val="00335C4E"/>
    <w:rsid w:val="003464E2"/>
    <w:rsid w:val="00347DE1"/>
    <w:rsid w:val="00360190"/>
    <w:rsid w:val="00361F19"/>
    <w:rsid w:val="00366B7F"/>
    <w:rsid w:val="00387A52"/>
    <w:rsid w:val="00391CC1"/>
    <w:rsid w:val="003A2773"/>
    <w:rsid w:val="003B75B2"/>
    <w:rsid w:val="003C04A0"/>
    <w:rsid w:val="003E3B17"/>
    <w:rsid w:val="003F1E1E"/>
    <w:rsid w:val="003F59D4"/>
    <w:rsid w:val="003F5FD3"/>
    <w:rsid w:val="00404060"/>
    <w:rsid w:val="004467E7"/>
    <w:rsid w:val="00470480"/>
    <w:rsid w:val="004723F7"/>
    <w:rsid w:val="004B1629"/>
    <w:rsid w:val="004C28FB"/>
    <w:rsid w:val="004C3511"/>
    <w:rsid w:val="004D19B3"/>
    <w:rsid w:val="004E2659"/>
    <w:rsid w:val="004F7B0E"/>
    <w:rsid w:val="00555269"/>
    <w:rsid w:val="005663B4"/>
    <w:rsid w:val="00584C49"/>
    <w:rsid w:val="00590556"/>
    <w:rsid w:val="005A01D2"/>
    <w:rsid w:val="005B1D61"/>
    <w:rsid w:val="005B3B15"/>
    <w:rsid w:val="005C6A04"/>
    <w:rsid w:val="005E757B"/>
    <w:rsid w:val="005E7B3F"/>
    <w:rsid w:val="00602158"/>
    <w:rsid w:val="006034C1"/>
    <w:rsid w:val="00634218"/>
    <w:rsid w:val="00640C1D"/>
    <w:rsid w:val="00665460"/>
    <w:rsid w:val="006666BA"/>
    <w:rsid w:val="00677088"/>
    <w:rsid w:val="006C5DE3"/>
    <w:rsid w:val="006E1195"/>
    <w:rsid w:val="006E1AF0"/>
    <w:rsid w:val="006F52E7"/>
    <w:rsid w:val="006F7826"/>
    <w:rsid w:val="00716880"/>
    <w:rsid w:val="007327CC"/>
    <w:rsid w:val="007502F4"/>
    <w:rsid w:val="00785B3D"/>
    <w:rsid w:val="007A0C10"/>
    <w:rsid w:val="007A2395"/>
    <w:rsid w:val="007B3864"/>
    <w:rsid w:val="007C6A64"/>
    <w:rsid w:val="00800523"/>
    <w:rsid w:val="00802649"/>
    <w:rsid w:val="00803921"/>
    <w:rsid w:val="0085498B"/>
    <w:rsid w:val="00861F59"/>
    <w:rsid w:val="00862BA2"/>
    <w:rsid w:val="008722E5"/>
    <w:rsid w:val="00923BE1"/>
    <w:rsid w:val="00931BD8"/>
    <w:rsid w:val="009356BA"/>
    <w:rsid w:val="00937AFD"/>
    <w:rsid w:val="00942441"/>
    <w:rsid w:val="00945511"/>
    <w:rsid w:val="00972C70"/>
    <w:rsid w:val="00975651"/>
    <w:rsid w:val="00995541"/>
    <w:rsid w:val="00996A67"/>
    <w:rsid w:val="009A081F"/>
    <w:rsid w:val="009C62E4"/>
    <w:rsid w:val="009C6810"/>
    <w:rsid w:val="00A17B15"/>
    <w:rsid w:val="00A2513B"/>
    <w:rsid w:val="00A27310"/>
    <w:rsid w:val="00A94476"/>
    <w:rsid w:val="00A975C5"/>
    <w:rsid w:val="00AD1E6D"/>
    <w:rsid w:val="00B25058"/>
    <w:rsid w:val="00B75C91"/>
    <w:rsid w:val="00B8689D"/>
    <w:rsid w:val="00B86E81"/>
    <w:rsid w:val="00BD6C9A"/>
    <w:rsid w:val="00BE1068"/>
    <w:rsid w:val="00BF1A26"/>
    <w:rsid w:val="00C05663"/>
    <w:rsid w:val="00C06F52"/>
    <w:rsid w:val="00C16502"/>
    <w:rsid w:val="00C43F23"/>
    <w:rsid w:val="00C55E6F"/>
    <w:rsid w:val="00C654D9"/>
    <w:rsid w:val="00C74829"/>
    <w:rsid w:val="00CA46C4"/>
    <w:rsid w:val="00CC6FC2"/>
    <w:rsid w:val="00CD1D3C"/>
    <w:rsid w:val="00CD4001"/>
    <w:rsid w:val="00CD4E57"/>
    <w:rsid w:val="00CF6E6E"/>
    <w:rsid w:val="00CF7C1F"/>
    <w:rsid w:val="00D05E35"/>
    <w:rsid w:val="00D0778A"/>
    <w:rsid w:val="00D13C04"/>
    <w:rsid w:val="00D13E77"/>
    <w:rsid w:val="00D1444F"/>
    <w:rsid w:val="00D221BC"/>
    <w:rsid w:val="00D33FCA"/>
    <w:rsid w:val="00D41486"/>
    <w:rsid w:val="00D62CD2"/>
    <w:rsid w:val="00D730FD"/>
    <w:rsid w:val="00D84DFD"/>
    <w:rsid w:val="00DC083B"/>
    <w:rsid w:val="00DC5382"/>
    <w:rsid w:val="00DD0BBB"/>
    <w:rsid w:val="00DD79B5"/>
    <w:rsid w:val="00DF11EA"/>
    <w:rsid w:val="00E248E3"/>
    <w:rsid w:val="00E257D7"/>
    <w:rsid w:val="00E8190B"/>
    <w:rsid w:val="00E95E86"/>
    <w:rsid w:val="00EB09E2"/>
    <w:rsid w:val="00ED14AC"/>
    <w:rsid w:val="00EF2313"/>
    <w:rsid w:val="00F02E9B"/>
    <w:rsid w:val="00F15D4B"/>
    <w:rsid w:val="00F27259"/>
    <w:rsid w:val="00F72779"/>
    <w:rsid w:val="00F74FF8"/>
    <w:rsid w:val="00F83553"/>
    <w:rsid w:val="00F90A02"/>
    <w:rsid w:val="00FB2746"/>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11A714CE"/>
  <w15:docId w15:val="{91776916-4A63-499F-B48D-2903174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6B0"/>
    <w:pPr>
      <w:spacing w:after="200" w:line="276" w:lineRule="auto"/>
    </w:pPr>
  </w:style>
  <w:style w:type="paragraph" w:styleId="Heading1">
    <w:name w:val="heading 1"/>
    <w:basedOn w:val="Normal"/>
    <w:next w:val="Normal"/>
    <w:link w:val="Heading1Char"/>
    <w:uiPriority w:val="99"/>
    <w:qFormat/>
    <w:rsid w:val="00D33FC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414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F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41486"/>
    <w:rPr>
      <w:rFonts w:ascii="Cambria" w:hAnsi="Cambria" w:cs="Times New Roman"/>
      <w:b/>
      <w:bCs/>
      <w:color w:val="4F81BD"/>
      <w:sz w:val="26"/>
      <w:szCs w:val="26"/>
    </w:rPr>
  </w:style>
  <w:style w:type="paragraph" w:styleId="ListParagraph">
    <w:name w:val="List Paragraph"/>
    <w:basedOn w:val="Normal"/>
    <w:uiPriority w:val="99"/>
    <w:qFormat/>
    <w:rsid w:val="00D33FCA"/>
    <w:pPr>
      <w:ind w:left="720"/>
      <w:contextualSpacing/>
    </w:pPr>
  </w:style>
  <w:style w:type="paragraph" w:styleId="BalloonText">
    <w:name w:val="Balloon Text"/>
    <w:basedOn w:val="Normal"/>
    <w:link w:val="BalloonTextChar"/>
    <w:uiPriority w:val="99"/>
    <w:semiHidden/>
    <w:rsid w:val="0003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52"/>
    <w:rPr>
      <w:rFonts w:ascii="Tahoma" w:hAnsi="Tahoma" w:cs="Tahoma"/>
      <w:sz w:val="16"/>
      <w:szCs w:val="16"/>
    </w:rPr>
  </w:style>
  <w:style w:type="table" w:styleId="TableGrid">
    <w:name w:val="Table Grid"/>
    <w:basedOn w:val="TableNormal"/>
    <w:uiPriority w:val="99"/>
    <w:rsid w:val="004723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7327CC"/>
    <w:pPr>
      <w:outlineLvl w:val="9"/>
    </w:pPr>
  </w:style>
  <w:style w:type="paragraph" w:styleId="TOC1">
    <w:name w:val="toc 1"/>
    <w:basedOn w:val="Normal"/>
    <w:next w:val="Normal"/>
    <w:autoRedefine/>
    <w:uiPriority w:val="99"/>
    <w:rsid w:val="007327CC"/>
    <w:pPr>
      <w:spacing w:after="100"/>
    </w:pPr>
  </w:style>
  <w:style w:type="paragraph" w:styleId="TOC2">
    <w:name w:val="toc 2"/>
    <w:basedOn w:val="Normal"/>
    <w:next w:val="Normal"/>
    <w:autoRedefine/>
    <w:uiPriority w:val="99"/>
    <w:rsid w:val="007327CC"/>
    <w:pPr>
      <w:spacing w:after="100"/>
      <w:ind w:left="220"/>
    </w:pPr>
  </w:style>
  <w:style w:type="character" w:styleId="Hyperlink">
    <w:name w:val="Hyperlink"/>
    <w:basedOn w:val="DefaultParagraphFont"/>
    <w:uiPriority w:val="99"/>
    <w:rsid w:val="007327CC"/>
    <w:rPr>
      <w:rFonts w:cs="Times New Roman"/>
      <w:color w:val="0000FF"/>
      <w:u w:val="single"/>
    </w:rPr>
  </w:style>
  <w:style w:type="paragraph" w:styleId="Header">
    <w:name w:val="header"/>
    <w:basedOn w:val="Normal"/>
    <w:link w:val="HeaderChar"/>
    <w:uiPriority w:val="99"/>
    <w:semiHidden/>
    <w:rsid w:val="00DC0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083B"/>
    <w:rPr>
      <w:rFonts w:cs="Times New Roman"/>
    </w:rPr>
  </w:style>
  <w:style w:type="paragraph" w:styleId="Footer">
    <w:name w:val="footer"/>
    <w:basedOn w:val="Normal"/>
    <w:link w:val="FooterChar"/>
    <w:uiPriority w:val="99"/>
    <w:semiHidden/>
    <w:rsid w:val="00DC08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C0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02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rvices.azre.gov/publicdatabase/SearchDevelop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4396</Words>
  <Characters>44673</Characters>
  <Application>Microsoft Office Word</Application>
  <DocSecurity>0</DocSecurity>
  <Lines>372</Lines>
  <Paragraphs>97</Paragraphs>
  <ScaleCrop>false</ScaleCrop>
  <HeadingPairs>
    <vt:vector size="2" baseType="variant">
      <vt:variant>
        <vt:lpstr>Title</vt:lpstr>
      </vt:variant>
      <vt:variant>
        <vt:i4>1</vt:i4>
      </vt:variant>
    </vt:vector>
  </HeadingPairs>
  <TitlesOfParts>
    <vt:vector size="1" baseType="lpstr">
      <vt:lpstr>Disclosure &amp; Due Diligence</vt:lpstr>
    </vt:vector>
  </TitlesOfParts>
  <Company>Arizona Association of REALTORS®</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Due Diligence</dc:title>
  <dc:subject>Risk Management Certification Core Course</dc:subject>
  <dc:creator>Instructor Manual</dc:creator>
  <cp:lastModifiedBy>Kimberly Franzen</cp:lastModifiedBy>
  <cp:revision>4</cp:revision>
  <cp:lastPrinted>2008-03-25T22:22:00Z</cp:lastPrinted>
  <dcterms:created xsi:type="dcterms:W3CDTF">2017-05-05T21:13:00Z</dcterms:created>
  <dcterms:modified xsi:type="dcterms:W3CDTF">2018-04-02T23:18:00Z</dcterms:modified>
</cp:coreProperties>
</file>